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drawing>
          <wp:anchor distT="0" distB="0" distL="114300" distR="114300" simplePos="0" relativeHeight="251660288" behindDoc="0" locked="0" layoutInCell="1" allowOverlap="1">
            <wp:simplePos x="0" y="0"/>
            <wp:positionH relativeFrom="page">
              <wp:posOffset>3265170</wp:posOffset>
            </wp:positionH>
            <wp:positionV relativeFrom="page">
              <wp:posOffset>786765</wp:posOffset>
            </wp:positionV>
            <wp:extent cx="1294765" cy="601980"/>
            <wp:effectExtent l="0" t="0" r="0" b="0"/>
            <wp:wrapNone/>
            <wp:docPr id="27"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说明: G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94765" cy="601980"/>
                    </a:xfrm>
                    <a:prstGeom prst="rect">
                      <a:avLst/>
                    </a:prstGeom>
                    <a:noFill/>
                    <a:ln>
                      <a:noFill/>
                    </a:ln>
                  </pic:spPr>
                </pic:pic>
              </a:graphicData>
            </a:graphic>
          </wp:anchor>
        </w:drawing>
      </w:r>
      <w:r>
        <mc:AlternateContent>
          <mc:Choice Requires="wps">
            <w:drawing>
              <wp:anchor distT="45720" distB="45720" distL="114300" distR="114300" simplePos="0" relativeHeight="251658240" behindDoc="0" locked="0" layoutInCell="1" allowOverlap="1">
                <wp:simplePos x="0" y="0"/>
                <wp:positionH relativeFrom="column">
                  <wp:posOffset>1111250</wp:posOffset>
                </wp:positionH>
                <wp:positionV relativeFrom="paragraph">
                  <wp:posOffset>175260</wp:posOffset>
                </wp:positionV>
                <wp:extent cx="1228090" cy="487680"/>
                <wp:effectExtent l="0" t="0" r="1270" b="0"/>
                <wp:wrapNone/>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090" cy="48768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广东省标准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87.5pt;margin-top:13.8pt;height:38.4pt;width:96.7pt;z-index:251658240;mso-width-relative:page;mso-height-relative:margin;mso-height-percent:200;" filled="f" stroked="f" coordsize="21600,21600" o:gfxdata="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m/cg1wAAAAoBAAAPAAAAAAAAAAEAIAAAACIAAABkcnMvZG93bnJldi54&#10;bWxQSwECFAAUAAAACACHTuJAJWwSIPsBAADIAwAADgAAAAAAAAABACAAAAAmAQAAZHJzL2Uyb0Rv&#10;Yy54bWxQSwUGAAAAAAYABgBZAQAAkwUAAAAA&#10;">
                <v:fill on="f" focussize="0,0"/>
                <v:stroke on="f"/>
                <v:imagedata o:title=""/>
                <o:lock v:ext="edit" aspectratio="f"/>
                <v:textbox style="mso-fit-shape-to-text:t;">
                  <w:txbxContent>
                    <w:p>
                      <w:pPr>
                        <w:rPr>
                          <w:rFonts w:ascii="黑体" w:hAnsi="黑体" w:eastAsia="黑体"/>
                          <w:sz w:val="32"/>
                          <w:szCs w:val="32"/>
                        </w:rPr>
                      </w:pPr>
                      <w:r>
                        <w:rPr>
                          <w:rFonts w:hint="eastAsia" w:ascii="黑体" w:hAnsi="黑体" w:eastAsia="黑体"/>
                          <w:sz w:val="32"/>
                          <w:szCs w:val="32"/>
                        </w:rPr>
                        <w:t>广东省标准</w:t>
                      </w:r>
                    </w:p>
                  </w:txbxContent>
                </v:textbox>
              </v:shape>
            </w:pict>
          </mc:Fallback>
        </mc:AlternateContent>
      </w:r>
    </w:p>
    <w:p>
      <w:pPr>
        <w:rPr>
          <w:rFonts w:ascii="黑体" w:hAnsi="黑体" w:eastAsia="黑体"/>
          <w:sz w:val="32"/>
          <w:szCs w:val="32"/>
        </w:rPr>
      </w:pPr>
    </w:p>
    <w:p>
      <w:pPr>
        <w:spacing w:line="360" w:lineRule="exact"/>
        <w:ind w:right="-525" w:rightChars="-250"/>
        <w:jc w:val="right"/>
        <w:rPr>
          <w:sz w:val="28"/>
          <w:szCs w:val="28"/>
        </w:rPr>
      </w:pPr>
      <w:r>
        <w:rPr>
          <w:sz w:val="28"/>
          <w:szCs w:val="28"/>
        </w:rPr>
        <w:t>DBJ/T XX/ XXXXX</w:t>
      </w:r>
      <w:r>
        <w:rPr>
          <w:rFonts w:hint="eastAsia"/>
          <w:sz w:val="28"/>
          <w:szCs w:val="28"/>
        </w:rPr>
        <w:t>-</w:t>
      </w:r>
      <w:r>
        <w:rPr>
          <w:sz w:val="28"/>
          <w:szCs w:val="28"/>
        </w:rPr>
        <w:t>20</w:t>
      </w:r>
      <w:r>
        <w:rPr>
          <w:sz w:val="28"/>
          <w:szCs w:val="28"/>
        </w:rPr>
        <mc:AlternateContent>
          <mc:Choice Requires="wps">
            <w:drawing>
              <wp:anchor distT="0" distB="0" distL="114300" distR="114300" simplePos="0" relativeHeight="251655168" behindDoc="0" locked="0" layoutInCell="1" allowOverlap="1">
                <wp:simplePos x="0" y="0"/>
                <wp:positionH relativeFrom="column">
                  <wp:posOffset>-479425</wp:posOffset>
                </wp:positionH>
                <wp:positionV relativeFrom="paragraph">
                  <wp:posOffset>489585</wp:posOffset>
                </wp:positionV>
                <wp:extent cx="4679950" cy="0"/>
                <wp:effectExtent l="8890" t="7620" r="6985" b="11430"/>
                <wp:wrapNone/>
                <wp:docPr id="25" name="自选图形 2"/>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straightConnector1">
                          <a:avLst/>
                        </a:prstGeom>
                        <a:noFill/>
                        <a:ln w="9525">
                          <a:solidFill>
                            <a:srgbClr val="000000"/>
                          </a:solidFill>
                          <a:round/>
                        </a:ln>
                      </wps:spPr>
                      <wps:bodyPr/>
                    </wps:wsp>
                  </a:graphicData>
                </a:graphic>
              </wp:anchor>
            </w:drawing>
          </mc:Choice>
          <mc:Fallback>
            <w:pict>
              <v:shape id="自选图形 2" o:spid="_x0000_s1026" o:spt="32" type="#_x0000_t32" style="position:absolute;left:0pt;margin-left:-37.75pt;margin-top:38.55pt;height:0pt;width:368.5pt;z-index:251655168;mso-width-relative:page;mso-height-relative:page;" filled="f" stroked="t" coordsize="21600,21600" o:gfxdata="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171ctYAAAAJAQAADwAAAAAAAAABACAAAAAiAAAA&#10;ZHJzL2Rvd25yZXYueG1sUEsBAhQAFAAAAAgAh07iQE4POpjQAQAAaAMAAA4AAAAAAAAAAQAgAAAA&#10;JQEAAGRycy9lMm9Eb2MueG1sUEsFBgAAAAAGAAYAWQEAAGcFAAAAAA==&#10;">
                <v:fill on="f" focussize="0,0"/>
                <v:stroke color="#000000" joinstyle="round"/>
                <v:imagedata o:title=""/>
                <o:lock v:ext="edit" aspectratio="f"/>
              </v:shape>
            </w:pict>
          </mc:Fallback>
        </mc:AlternateContent>
      </w:r>
      <w:r>
        <w:rPr>
          <w:sz w:val="28"/>
          <w:szCs w:val="28"/>
        </w:rPr>
        <w:t>2X</w:t>
      </w:r>
    </w:p>
    <w:p>
      <w:pPr>
        <w:spacing w:line="360" w:lineRule="exact"/>
        <w:ind w:right="-525" w:rightChars="-250"/>
        <w:jc w:val="right"/>
        <w:rPr>
          <w:sz w:val="28"/>
          <w:szCs w:val="28"/>
        </w:rPr>
      </w:pPr>
      <w:r>
        <w:rPr>
          <w:rFonts w:ascii="黑体" w:hAnsi="黑体" w:eastAsia="黑体"/>
          <w:sz w:val="28"/>
          <w:szCs w:val="28"/>
        </w:rPr>
        <w:t>备案号</w:t>
      </w:r>
      <w:r>
        <w:rPr>
          <w:sz w:val="28"/>
          <w:szCs w:val="28"/>
        </w:rPr>
        <w:t xml:space="preserve"> J XXXXX-202X</w:t>
      </w:r>
    </w:p>
    <w:p>
      <w:pPr>
        <w:spacing w:line="180" w:lineRule="exact"/>
      </w:pPr>
    </w:p>
    <w:p>
      <w:pPr>
        <w:spacing w:line="180" w:lineRule="exact"/>
      </w:pPr>
    </w:p>
    <w:p>
      <w:pPr>
        <w:spacing w:line="180" w:lineRule="exact"/>
      </w:pPr>
    </w:p>
    <w:p>
      <w:pPr>
        <w:spacing w:line="180" w:lineRule="exact"/>
      </w:pPr>
    </w:p>
    <w:p>
      <w:pPr>
        <w:jc w:val="center"/>
        <w:rPr>
          <w:rFonts w:eastAsia="黑体"/>
          <w:sz w:val="40"/>
          <w:szCs w:val="40"/>
        </w:rPr>
      </w:pPr>
      <w:bookmarkStart w:id="0" w:name="_Hlk521568515"/>
      <w:r>
        <w:rPr>
          <w:rFonts w:hint="eastAsia" w:eastAsia="黑体"/>
          <w:sz w:val="40"/>
          <w:szCs w:val="40"/>
        </w:rPr>
        <w:t>装配式混凝土结构检测技术标准</w:t>
      </w:r>
    </w:p>
    <w:bookmarkEnd w:id="0"/>
    <w:p>
      <w:pPr>
        <w:spacing w:line="400" w:lineRule="exact"/>
        <w:jc w:val="center"/>
        <w:rPr>
          <w:rFonts w:eastAsia="黑体"/>
          <w:sz w:val="28"/>
          <w:szCs w:val="28"/>
        </w:rPr>
      </w:pPr>
      <w:r>
        <w:rPr>
          <w:rFonts w:eastAsia="黑体"/>
          <w:sz w:val="28"/>
          <w:szCs w:val="28"/>
        </w:rPr>
        <w:t>Technical standard for inspection of assembled concrete structures</w:t>
      </w:r>
      <w:bookmarkStart w:id="784" w:name="_GoBack"/>
      <w:bookmarkEnd w:id="784"/>
    </w:p>
    <w:p>
      <w:pPr>
        <w:spacing w:line="480" w:lineRule="auto"/>
        <w:jc w:val="center"/>
        <w:rPr>
          <w:rFonts w:eastAsia="黑体"/>
        </w:rPr>
      </w:pPr>
      <w:r>
        <w:rPr>
          <w:rFonts w:hint="eastAsia" w:eastAsia="黑体"/>
        </w:rPr>
        <w:t>征求意见稿</w:t>
      </w: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spacing w:line="180" w:lineRule="exact"/>
        <w:rPr>
          <w:rFonts w:eastAsia="黑体"/>
          <w:szCs w:val="21"/>
        </w:rPr>
      </w:pPr>
    </w:p>
    <w:p>
      <w:pPr>
        <w:ind w:left="-210" w:leftChars="-100" w:right="-1680" w:rightChars="-800"/>
        <w:rPr>
          <w:rFonts w:eastAsia="黑体"/>
          <w:sz w:val="28"/>
          <w:szCs w:val="28"/>
        </w:rPr>
      </w:pPr>
      <w:r>
        <w:rPr>
          <w:rFonts w:eastAsia="黑体"/>
          <w:b/>
          <w:sz w:val="28"/>
          <w:szCs w:val="28"/>
        </w:rPr>
        <w:t>202X - XX - XX</w:t>
      </w:r>
      <w:r>
        <w:rPr>
          <w:rFonts w:eastAsia="黑体"/>
          <w:sz w:val="28"/>
          <w:szCs w:val="28"/>
        </w:rPr>
        <w:t xml:space="preserve">发布           </w:t>
      </w:r>
      <w:r>
        <w:rPr>
          <w:rFonts w:eastAsia="黑体"/>
          <w:b/>
          <w:sz w:val="28"/>
          <w:szCs w:val="28"/>
        </w:rPr>
        <w:t>202X - XX - XX</w:t>
      </w:r>
      <w:r>
        <w:rPr>
          <w:rFonts w:eastAsia="黑体"/>
          <w:sz w:val="28"/>
          <w:szCs w:val="28"/>
        </w:rPr>
        <w:t>实施</w:t>
      </w:r>
    </w:p>
    <w:p>
      <w:pPr>
        <w:spacing w:before="312" w:beforeLines="100"/>
        <w:jc w:val="center"/>
        <w:rPr>
          <w:rFonts w:eastAsia="黑体"/>
          <w:sz w:val="32"/>
          <w:szCs w:val="32"/>
        </w:rPr>
        <w:sectPr>
          <w:pgSz w:w="7938" w:h="11510"/>
          <w:pgMar w:top="1083" w:right="1009" w:bottom="1083" w:left="1009" w:header="851" w:footer="992" w:gutter="0"/>
          <w:cols w:space="425" w:num="1"/>
          <w:docGrid w:type="lines" w:linePitch="312" w:charSpace="0"/>
        </w:sectPr>
      </w:pPr>
      <w:r>
        <mc:AlternateContent>
          <mc:Choice Requires="wps">
            <w:drawing>
              <wp:anchor distT="45720" distB="45720" distL="114300" distR="114300" simplePos="0" relativeHeight="251661312" behindDoc="0" locked="0" layoutInCell="1" allowOverlap="1">
                <wp:simplePos x="0" y="0"/>
                <wp:positionH relativeFrom="column">
                  <wp:posOffset>2928620</wp:posOffset>
                </wp:positionH>
                <wp:positionV relativeFrom="paragraph">
                  <wp:posOffset>622935</wp:posOffset>
                </wp:positionV>
                <wp:extent cx="1194435" cy="280035"/>
                <wp:effectExtent l="0" t="0" r="24765" b="2540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194435" cy="280035"/>
                        </a:xfrm>
                        <a:prstGeom prst="rect">
                          <a:avLst/>
                        </a:prstGeom>
                        <a:solidFill>
                          <a:srgbClr val="FFFFFF"/>
                        </a:solidFill>
                        <a:ln w="9525">
                          <a:solidFill>
                            <a:srgbClr val="000000"/>
                          </a:solidFill>
                          <a:miter lim="800000"/>
                        </a:ln>
                      </wps:spPr>
                      <wps:txbx>
                        <w:txbxContent>
                          <w:p>
                            <w:pPr>
                              <w:spacing w:line="240" w:lineRule="auto"/>
                              <w:jc w:val="center"/>
                              <w:rPr>
                                <w:rFonts w:ascii="宋体" w:hAnsi="宋体"/>
                                <w:szCs w:val="21"/>
                              </w:rPr>
                            </w:pPr>
                            <w:r>
                              <w:rPr>
                                <w:rFonts w:hint="eastAsia" w:ascii="宋体" w:hAnsi="宋体"/>
                                <w:szCs w:val="21"/>
                              </w:rPr>
                              <w:t>本标准涉及专利</w:t>
                            </w:r>
                          </w:p>
                        </w:txbxContent>
                      </wps:txbx>
                      <wps:bodyPr rot="0" vert="horz" wrap="square" lIns="36000" tIns="36000" rIns="36000" bIns="3600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30.6pt;margin-top:49.05pt;height:22.05pt;width:94.05pt;z-index:251661312;mso-width-relative:page;mso-height-relative:margin;mso-height-percent:200;" fillcolor="#FFFFFF" filled="t" stroked="t" coordsize="21600,21600" o:gfxdata="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nvOytYAAAAK&#10;AQAADwAAAAAAAAABACAAAAAiAAAAZHJzL2Rvd25yZXYueG1sUEsBAhQAFAAAAAgAh07iQIJdbnIe&#10;AgAAOwQAAA4AAAAAAAAAAQAgAAAAJQEAAGRycy9lMm9Eb2MueG1sUEsFBgAAAAAGAAYAWQEAALUF&#10;AAAAAA==&#10;">
                <v:fill on="t" focussize="0,0"/>
                <v:stroke color="#000000" miterlimit="8" joinstyle="miter"/>
                <v:imagedata o:title=""/>
                <o:lock v:ext="edit" aspectratio="f"/>
                <v:textbox inset="1mm,1mm,1mm,1mm" style="mso-fit-shape-to-text:t;">
                  <w:txbxContent>
                    <w:p>
                      <w:pPr>
                        <w:spacing w:line="240" w:lineRule="auto"/>
                        <w:jc w:val="center"/>
                        <w:rPr>
                          <w:rFonts w:ascii="宋体" w:hAnsi="宋体"/>
                          <w:szCs w:val="21"/>
                        </w:rPr>
                      </w:pPr>
                      <w:r>
                        <w:rPr>
                          <w:rFonts w:hint="eastAsia" w:ascii="宋体" w:hAnsi="宋体"/>
                          <w:szCs w:val="21"/>
                        </w:rPr>
                        <w:t>本标准涉及专利</w:t>
                      </w:r>
                    </w:p>
                  </w:txbxContent>
                </v:textbox>
              </v:shape>
            </w:pict>
          </mc:Fallback>
        </mc:AlternateContent>
      </w:r>
      <w:r>
        <w:rPr>
          <w:rFonts w:hint="eastAsia" w:eastAsia="黑体"/>
          <w:sz w:val="32"/>
          <w:szCs w:val="32"/>
        </w:rPr>
        <mc:AlternateContent>
          <mc:Choice Requires="wps">
            <w:drawing>
              <wp:anchor distT="0" distB="0" distL="114300" distR="114300" simplePos="0" relativeHeight="251656192" behindDoc="0" locked="0" layoutInCell="1" allowOverlap="1">
                <wp:simplePos x="0" y="0"/>
                <wp:positionH relativeFrom="column">
                  <wp:posOffset>-407670</wp:posOffset>
                </wp:positionH>
                <wp:positionV relativeFrom="paragraph">
                  <wp:posOffset>66675</wp:posOffset>
                </wp:positionV>
                <wp:extent cx="4608195" cy="0"/>
                <wp:effectExtent l="13970" t="5080" r="6985" b="13970"/>
                <wp:wrapNone/>
                <wp:docPr id="24" name="自选图形 3"/>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9525">
                          <a:solidFill>
                            <a:srgbClr val="000000"/>
                          </a:solidFill>
                          <a:round/>
                        </a:ln>
                      </wps:spPr>
                      <wps:bodyPr/>
                    </wps:wsp>
                  </a:graphicData>
                </a:graphic>
              </wp:anchor>
            </w:drawing>
          </mc:Choice>
          <mc:Fallback>
            <w:pict>
              <v:shape id="自选图形 3" o:spid="_x0000_s1026" o:spt="32" type="#_x0000_t32" style="position:absolute;left:0pt;margin-left:-32.1pt;margin-top:5.25pt;height:0pt;width:362.85pt;z-index:251656192;mso-width-relative:page;mso-height-relative:page;" filled="f" stroked="t" coordsize="21600,21600" o:gfxdata="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Pb0RHXAAAACQEAAA8AAAAAAAAAAQAgAAAA&#10;IgAAAGRycy9kb3ducmV2LnhtbFBLAQIUABQAAAAIAIdO4kC/JCaK0wEAAGgDAAAOAAAAAAAAAAEA&#10;IAAAACYBAABkcnMvZTJvRG9jLnhtbFBLBQYAAAAABgAGAFkBAABrBQAAAAA=&#10;">
                <v:fill on="f" focussize="0,0"/>
                <v:stroke color="#000000" joinstyle="round"/>
                <v:imagedata o:title=""/>
                <o:lock v:ext="edit" aspectratio="f"/>
              </v:shape>
            </w:pict>
          </mc:Fallback>
        </mc:AlternateContent>
      </w:r>
      <w:r>
        <w:rPr>
          <w:rFonts w:hint="eastAsia" w:eastAsia="黑体"/>
          <w:sz w:val="32"/>
          <w:szCs w:val="32"/>
        </w:rPr>
        <mc:AlternateContent>
          <mc:Choice Requires="wps">
            <w:drawing>
              <wp:anchor distT="0" distB="0" distL="114300" distR="114300" simplePos="0" relativeHeight="251654144" behindDoc="0" locked="1" layoutInCell="1" allowOverlap="1">
                <wp:simplePos x="0" y="0"/>
                <wp:positionH relativeFrom="column">
                  <wp:posOffset>411480</wp:posOffset>
                </wp:positionH>
                <wp:positionV relativeFrom="page">
                  <wp:posOffset>9404350</wp:posOffset>
                </wp:positionV>
                <wp:extent cx="6120130" cy="0"/>
                <wp:effectExtent l="13970" t="12700" r="9525" b="6350"/>
                <wp:wrapNone/>
                <wp:docPr id="2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32.4pt;margin-top:740.5pt;height:0pt;width:481.9pt;mso-position-vertical-relative:page;z-index:251654144;mso-width-relative:page;mso-height-relative:page;" filled="f" stroked="t" coordsize="21600,21600" o:gfxdata="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G3B+NcA&#10;AAANAQAADwAAAAAAAAABACAAAAAiAAAAZHJzL2Rvd25yZXYueG1sUEsBAhQAFAAAAAgAh07iQIJy&#10;Dp2uAQAAUgMAAA4AAAAAAAAAAQAgAAAAJgEAAGRycy9lMm9Eb2MueG1sUEsFBgAAAAAGAAYAWQEA&#10;AEYFAAAAAA==&#10;">
                <v:fill on="f" focussize="0,0"/>
                <v:stroke color="#000000" joinstyle="round"/>
                <v:imagedata o:title=""/>
                <o:lock v:ext="edit" aspectratio="f"/>
                <w10:anchorlock/>
              </v:line>
            </w:pict>
          </mc:Fallback>
        </mc:AlternateContent>
      </w:r>
      <w:r>
        <w:rPr>
          <w:rFonts w:hint="eastAsia" w:eastAsia="黑体"/>
          <w:sz w:val="32"/>
          <w:szCs w:val="32"/>
        </w:rPr>
        <w:t>广东省住房和城乡建设厅      发 布</w:t>
      </w:r>
    </w:p>
    <w:p>
      <w:pPr>
        <w:spacing w:line="964" w:lineRule="exact"/>
        <w:jc w:val="center"/>
        <w:rPr>
          <w:rFonts w:eastAsia="黑体"/>
          <w:sz w:val="28"/>
          <w:szCs w:val="28"/>
        </w:rPr>
      </w:pPr>
    </w:p>
    <w:p>
      <w:pPr>
        <w:jc w:val="center"/>
        <w:rPr>
          <w:rFonts w:eastAsia="黑体"/>
          <w:sz w:val="28"/>
          <w:szCs w:val="28"/>
        </w:rPr>
      </w:pPr>
      <w:r>
        <w:rPr>
          <w:rFonts w:hint="eastAsia" w:eastAsia="黑体"/>
          <w:sz w:val="28"/>
          <w:szCs w:val="28"/>
        </w:rPr>
        <w:t>广东省标准</w:t>
      </w:r>
    </w:p>
    <w:p>
      <w:pPr>
        <w:spacing w:line="567" w:lineRule="exact"/>
        <w:jc w:val="center"/>
        <w:rPr>
          <w:rFonts w:eastAsia="黑体"/>
          <w:sz w:val="28"/>
          <w:szCs w:val="28"/>
        </w:rPr>
      </w:pPr>
    </w:p>
    <w:p>
      <w:pPr>
        <w:jc w:val="center"/>
        <w:rPr>
          <w:rFonts w:eastAsia="黑体"/>
          <w:sz w:val="32"/>
          <w:szCs w:val="32"/>
        </w:rPr>
      </w:pPr>
      <w:r>
        <w:rPr>
          <w:rFonts w:hint="eastAsia" w:eastAsia="黑体"/>
          <w:sz w:val="32"/>
          <w:szCs w:val="32"/>
        </w:rPr>
        <w:t>装配式混凝土结构检测技术标准</w:t>
      </w:r>
    </w:p>
    <w:p>
      <w:pPr>
        <w:spacing w:line="340" w:lineRule="exact"/>
        <w:rPr>
          <w:rFonts w:eastAsia="黑体"/>
          <w:sz w:val="32"/>
          <w:szCs w:val="32"/>
        </w:rPr>
      </w:pPr>
    </w:p>
    <w:p>
      <w:pPr>
        <w:spacing w:line="340" w:lineRule="exact"/>
        <w:jc w:val="center"/>
        <w:rPr>
          <w:sz w:val="24"/>
          <w:szCs w:val="24"/>
        </w:rPr>
      </w:pPr>
      <w:r>
        <w:rPr>
          <w:sz w:val="24"/>
          <w:szCs w:val="24"/>
        </w:rPr>
        <w:t>Technical standard for inspection of assembled</w:t>
      </w:r>
    </w:p>
    <w:p>
      <w:pPr>
        <w:spacing w:line="340" w:lineRule="exact"/>
        <w:jc w:val="center"/>
        <w:rPr>
          <w:sz w:val="24"/>
          <w:szCs w:val="24"/>
        </w:rPr>
      </w:pPr>
      <w:r>
        <w:rPr>
          <w:sz w:val="24"/>
          <w:szCs w:val="24"/>
        </w:rPr>
        <w:t>concrete structures</w:t>
      </w:r>
    </w:p>
    <w:p>
      <w:pPr>
        <w:spacing w:line="340" w:lineRule="exact"/>
        <w:rPr>
          <w:rFonts w:eastAsia="黑体"/>
        </w:rPr>
      </w:pPr>
    </w:p>
    <w:p>
      <w:pPr>
        <w:jc w:val="center"/>
        <w:rPr>
          <w:rFonts w:eastAsia="黑体"/>
        </w:rPr>
      </w:pPr>
      <w:bookmarkStart w:id="1" w:name="_Hlk491331608"/>
      <w:r>
        <w:rPr>
          <w:rFonts w:eastAsia="黑体"/>
        </w:rPr>
        <w:t>DBJ/T XX-XXX-202X</w:t>
      </w:r>
    </w:p>
    <w:bookmarkEnd w:id="1"/>
    <w:p>
      <w:pPr>
        <w:spacing w:line="340" w:lineRule="exact"/>
        <w:rPr>
          <w:rFonts w:eastAsia="黑体"/>
        </w:rPr>
      </w:pPr>
    </w:p>
    <w:tbl>
      <w:tblPr>
        <w:tblStyle w:val="26"/>
        <w:tblW w:w="6136" w:type="dxa"/>
        <w:tblInd w:w="0" w:type="dxa"/>
        <w:tblLayout w:type="fixed"/>
        <w:tblCellMar>
          <w:top w:w="0" w:type="dxa"/>
          <w:left w:w="108" w:type="dxa"/>
          <w:bottom w:w="0" w:type="dxa"/>
          <w:right w:w="108" w:type="dxa"/>
        </w:tblCellMar>
      </w:tblPr>
      <w:tblGrid>
        <w:gridCol w:w="890"/>
        <w:gridCol w:w="4358"/>
        <w:gridCol w:w="888"/>
      </w:tblGrid>
      <w:tr>
        <w:tblPrEx>
          <w:tblLayout w:type="fixed"/>
          <w:tblCellMar>
            <w:top w:w="0" w:type="dxa"/>
            <w:left w:w="108" w:type="dxa"/>
            <w:bottom w:w="0" w:type="dxa"/>
            <w:right w:w="108" w:type="dxa"/>
          </w:tblCellMar>
        </w:tblPrEx>
        <w:trPr>
          <w:trHeight w:val="170" w:hRule="atLeast"/>
        </w:trPr>
        <w:tc>
          <w:tcPr>
            <w:tcW w:w="890" w:type="dxa"/>
            <w:shd w:val="clear" w:color="auto" w:fill="auto"/>
            <w:vAlign w:val="center"/>
          </w:tcPr>
          <w:p>
            <w:pPr>
              <w:widowControl/>
              <w:tabs>
                <w:tab w:val="center" w:pos="4201"/>
                <w:tab w:val="right" w:leader="dot" w:pos="9298"/>
              </w:tabs>
              <w:autoSpaceDE w:val="0"/>
              <w:autoSpaceDN w:val="0"/>
              <w:rPr>
                <w:rFonts w:eastAsia="黑体"/>
                <w:kern w:val="0"/>
                <w:sz w:val="24"/>
                <w:szCs w:val="24"/>
              </w:rPr>
            </w:pPr>
          </w:p>
        </w:tc>
        <w:tc>
          <w:tcPr>
            <w:tcW w:w="4358" w:type="dxa"/>
            <w:shd w:val="clear" w:color="auto" w:fill="auto"/>
            <w:vAlign w:val="center"/>
          </w:tcPr>
          <w:p>
            <w:pPr>
              <w:widowControl/>
              <w:tabs>
                <w:tab w:val="center" w:pos="4201"/>
                <w:tab w:val="right" w:leader="dot" w:pos="9298"/>
              </w:tabs>
              <w:autoSpaceDE w:val="0"/>
              <w:autoSpaceDN w:val="0"/>
              <w:rPr>
                <w:rFonts w:eastAsia="黑体"/>
                <w:kern w:val="0"/>
                <w:szCs w:val="21"/>
              </w:rPr>
            </w:pPr>
            <w:r>
              <w:rPr>
                <w:rFonts w:eastAsia="黑体"/>
                <w:kern w:val="0"/>
                <w:szCs w:val="21"/>
              </w:rPr>
              <w:t>住房和城乡建设部备案号：J XXXXX-XXXX</w:t>
            </w:r>
          </w:p>
        </w:tc>
        <w:tc>
          <w:tcPr>
            <w:tcW w:w="888" w:type="dxa"/>
            <w:shd w:val="clear" w:color="auto" w:fill="auto"/>
            <w:vAlign w:val="center"/>
          </w:tcPr>
          <w:p>
            <w:pPr>
              <w:widowControl/>
              <w:tabs>
                <w:tab w:val="center" w:pos="4201"/>
                <w:tab w:val="right" w:leader="dot" w:pos="9298"/>
              </w:tabs>
              <w:autoSpaceDE w:val="0"/>
              <w:autoSpaceDN w:val="0"/>
              <w:rPr>
                <w:rFonts w:eastAsia="黑体"/>
                <w:kern w:val="0"/>
                <w:sz w:val="24"/>
                <w:szCs w:val="24"/>
              </w:rPr>
            </w:pPr>
          </w:p>
        </w:tc>
      </w:tr>
      <w:tr>
        <w:tblPrEx>
          <w:tblLayout w:type="fixed"/>
          <w:tblCellMar>
            <w:top w:w="0" w:type="dxa"/>
            <w:left w:w="108" w:type="dxa"/>
            <w:bottom w:w="0" w:type="dxa"/>
            <w:right w:w="108" w:type="dxa"/>
          </w:tblCellMar>
        </w:tblPrEx>
        <w:trPr>
          <w:trHeight w:val="170" w:hRule="atLeast"/>
        </w:trPr>
        <w:tc>
          <w:tcPr>
            <w:tcW w:w="890" w:type="dxa"/>
            <w:shd w:val="clear" w:color="auto" w:fill="auto"/>
            <w:vAlign w:val="center"/>
          </w:tcPr>
          <w:p>
            <w:pPr>
              <w:widowControl/>
              <w:tabs>
                <w:tab w:val="center" w:pos="4201"/>
                <w:tab w:val="right" w:leader="dot" w:pos="9298"/>
              </w:tabs>
              <w:autoSpaceDE w:val="0"/>
              <w:autoSpaceDN w:val="0"/>
              <w:rPr>
                <w:rFonts w:eastAsia="黑体"/>
                <w:kern w:val="0"/>
                <w:sz w:val="24"/>
                <w:szCs w:val="24"/>
              </w:rPr>
            </w:pPr>
          </w:p>
        </w:tc>
        <w:tc>
          <w:tcPr>
            <w:tcW w:w="4358" w:type="dxa"/>
            <w:shd w:val="clear" w:color="auto" w:fill="auto"/>
            <w:vAlign w:val="center"/>
          </w:tcPr>
          <w:p>
            <w:pPr>
              <w:widowControl/>
              <w:tabs>
                <w:tab w:val="center" w:pos="4201"/>
                <w:tab w:val="right" w:leader="dot" w:pos="9298"/>
              </w:tabs>
              <w:autoSpaceDE w:val="0"/>
              <w:autoSpaceDN w:val="0"/>
              <w:rPr>
                <w:rFonts w:eastAsia="黑体"/>
                <w:kern w:val="0"/>
                <w:szCs w:val="21"/>
              </w:rPr>
            </w:pPr>
            <w:r>
              <w:rPr>
                <w:rFonts w:eastAsia="黑体"/>
                <w:kern w:val="0"/>
                <w:szCs w:val="21"/>
              </w:rPr>
              <w:t>批准部门：广东省住房和城乡建设厅</w:t>
            </w:r>
          </w:p>
        </w:tc>
        <w:tc>
          <w:tcPr>
            <w:tcW w:w="888" w:type="dxa"/>
            <w:shd w:val="clear" w:color="auto" w:fill="auto"/>
            <w:vAlign w:val="center"/>
          </w:tcPr>
          <w:p>
            <w:pPr>
              <w:widowControl/>
              <w:tabs>
                <w:tab w:val="center" w:pos="4201"/>
                <w:tab w:val="right" w:leader="dot" w:pos="9298"/>
              </w:tabs>
              <w:autoSpaceDE w:val="0"/>
              <w:autoSpaceDN w:val="0"/>
              <w:rPr>
                <w:rFonts w:eastAsia="黑体"/>
                <w:kern w:val="0"/>
                <w:sz w:val="24"/>
                <w:szCs w:val="24"/>
              </w:rPr>
            </w:pPr>
          </w:p>
        </w:tc>
      </w:tr>
      <w:tr>
        <w:tblPrEx>
          <w:tblLayout w:type="fixed"/>
          <w:tblCellMar>
            <w:top w:w="0" w:type="dxa"/>
            <w:left w:w="108" w:type="dxa"/>
            <w:bottom w:w="0" w:type="dxa"/>
            <w:right w:w="108" w:type="dxa"/>
          </w:tblCellMar>
        </w:tblPrEx>
        <w:trPr>
          <w:trHeight w:val="170" w:hRule="atLeast"/>
        </w:trPr>
        <w:tc>
          <w:tcPr>
            <w:tcW w:w="890" w:type="dxa"/>
            <w:shd w:val="clear" w:color="auto" w:fill="auto"/>
            <w:vAlign w:val="center"/>
          </w:tcPr>
          <w:p>
            <w:pPr>
              <w:widowControl/>
              <w:tabs>
                <w:tab w:val="center" w:pos="4201"/>
                <w:tab w:val="right" w:leader="dot" w:pos="9298"/>
              </w:tabs>
              <w:autoSpaceDE w:val="0"/>
              <w:autoSpaceDN w:val="0"/>
              <w:rPr>
                <w:rFonts w:eastAsia="黑体"/>
                <w:kern w:val="0"/>
                <w:sz w:val="24"/>
                <w:szCs w:val="24"/>
              </w:rPr>
            </w:pPr>
          </w:p>
        </w:tc>
        <w:tc>
          <w:tcPr>
            <w:tcW w:w="4358" w:type="dxa"/>
            <w:shd w:val="clear" w:color="auto" w:fill="auto"/>
            <w:vAlign w:val="center"/>
          </w:tcPr>
          <w:p>
            <w:pPr>
              <w:widowControl/>
              <w:tabs>
                <w:tab w:val="center" w:pos="4201"/>
                <w:tab w:val="right" w:leader="dot" w:pos="9298"/>
              </w:tabs>
              <w:autoSpaceDE w:val="0"/>
              <w:autoSpaceDN w:val="0"/>
              <w:rPr>
                <w:rFonts w:eastAsia="黑体"/>
                <w:kern w:val="0"/>
                <w:szCs w:val="21"/>
              </w:rPr>
            </w:pPr>
            <w:r>
              <w:rPr>
                <w:rFonts w:eastAsia="黑体"/>
                <w:kern w:val="0"/>
                <w:szCs w:val="21"/>
              </w:rPr>
              <w:t>施行日期：202X年X月X日</w:t>
            </w:r>
          </w:p>
        </w:tc>
        <w:tc>
          <w:tcPr>
            <w:tcW w:w="888" w:type="dxa"/>
            <w:shd w:val="clear" w:color="auto" w:fill="auto"/>
            <w:vAlign w:val="center"/>
          </w:tcPr>
          <w:p>
            <w:pPr>
              <w:widowControl/>
              <w:tabs>
                <w:tab w:val="center" w:pos="4201"/>
                <w:tab w:val="right" w:leader="dot" w:pos="9298"/>
              </w:tabs>
              <w:autoSpaceDE w:val="0"/>
              <w:autoSpaceDN w:val="0"/>
              <w:rPr>
                <w:rFonts w:eastAsia="黑体"/>
                <w:kern w:val="0"/>
                <w:sz w:val="24"/>
                <w:szCs w:val="24"/>
              </w:rPr>
            </w:pPr>
          </w:p>
        </w:tc>
      </w:tr>
    </w:tbl>
    <w:p>
      <w:pPr>
        <w:rPr>
          <w:rFonts w:eastAsia="黑体"/>
        </w:rPr>
      </w:pPr>
    </w:p>
    <w:p>
      <w:pPr>
        <w:rPr>
          <w:rFonts w:eastAsia="黑体"/>
        </w:rPr>
      </w:pPr>
    </w:p>
    <w:p>
      <w:pPr>
        <w:rPr>
          <w:rFonts w:eastAsia="黑体"/>
        </w:rPr>
      </w:pPr>
    </w:p>
    <w:p>
      <w:pPr>
        <w:rPr>
          <w:rFonts w:eastAsia="黑体"/>
        </w:rPr>
      </w:pPr>
    </w:p>
    <w:p>
      <w:pPr>
        <w:rPr>
          <w:rFonts w:eastAsia="黑体"/>
        </w:rPr>
      </w:pPr>
    </w:p>
    <w:p>
      <w:pPr>
        <w:jc w:val="center"/>
        <w:rPr>
          <w:rFonts w:ascii="仿宋" w:hAnsi="仿宋" w:eastAsia="仿宋"/>
          <w:sz w:val="32"/>
          <w:szCs w:val="32"/>
        </w:rPr>
      </w:pPr>
      <w:r>
        <w:rPr>
          <w:rFonts w:hint="eastAsia" w:ascii="仿宋" w:hAnsi="仿宋" w:eastAsia="仿宋"/>
          <w:sz w:val="32"/>
          <w:szCs w:val="32"/>
        </w:rPr>
        <w:t>XXXX出版社</w:t>
      </w:r>
    </w:p>
    <w:p>
      <w:pPr>
        <w:spacing w:line="120" w:lineRule="exact"/>
        <w:jc w:val="center"/>
        <w:rPr>
          <w:rFonts w:ascii="仿宋" w:hAnsi="仿宋" w:eastAsia="仿宋"/>
          <w:sz w:val="32"/>
          <w:szCs w:val="32"/>
        </w:rPr>
      </w:pPr>
    </w:p>
    <w:p>
      <w:pPr>
        <w:jc w:val="center"/>
        <w:rPr>
          <w:rFonts w:eastAsia="黑体"/>
        </w:rPr>
      </w:pPr>
      <w:r>
        <w:rPr>
          <w:rFonts w:eastAsia="黑体"/>
        </w:rPr>
        <w:t>202X  广   州</w:t>
      </w:r>
    </w:p>
    <w:p>
      <w:pPr>
        <w:jc w:val="center"/>
        <w:rPr>
          <w:rFonts w:eastAsia="黑体"/>
        </w:rPr>
        <w:sectPr>
          <w:footerReference r:id="rId3" w:type="default"/>
          <w:pgSz w:w="7938" w:h="11510"/>
          <w:pgMar w:top="1083" w:right="1009" w:bottom="1083" w:left="1009" w:header="851" w:footer="992" w:gutter="0"/>
          <w:cols w:space="425" w:num="1"/>
          <w:docGrid w:type="lines" w:linePitch="312" w:charSpace="0"/>
        </w:sectPr>
      </w:pPr>
    </w:p>
    <w:p>
      <w:pPr>
        <w:spacing w:line="624" w:lineRule="exact"/>
        <w:rPr>
          <w:sz w:val="28"/>
          <w:szCs w:val="28"/>
        </w:rPr>
      </w:pPr>
    </w:p>
    <w:p>
      <w:pPr>
        <w:spacing w:line="240" w:lineRule="auto"/>
        <w:jc w:val="center"/>
        <w:rPr>
          <w:rFonts w:eastAsia="方正小标宋简体"/>
          <w:sz w:val="28"/>
          <w:szCs w:val="28"/>
        </w:rPr>
      </w:pPr>
      <w:r>
        <w:rPr>
          <w:rFonts w:hint="eastAsia" w:eastAsia="方正小标宋简体"/>
          <w:sz w:val="28"/>
          <w:szCs w:val="28"/>
        </w:rPr>
        <w:t>广东省住房和城乡建设厅关于发布广东省标准《装配式混凝土结构检测技术标准》的公告</w:t>
      </w:r>
    </w:p>
    <w:p>
      <w:pPr>
        <w:spacing w:line="480" w:lineRule="auto"/>
        <w:jc w:val="center"/>
      </w:pPr>
      <w:r>
        <w:rPr>
          <w:rFonts w:hint="eastAsia"/>
        </w:rPr>
        <mc:AlternateContent>
          <mc:Choice Requires="wps">
            <w:drawing>
              <wp:anchor distT="0" distB="0" distL="114300" distR="114300" simplePos="0" relativeHeight="251653120" behindDoc="0" locked="1" layoutInCell="1" allowOverlap="1">
                <wp:simplePos x="0" y="0"/>
                <wp:positionH relativeFrom="column">
                  <wp:posOffset>259080</wp:posOffset>
                </wp:positionH>
                <wp:positionV relativeFrom="page">
                  <wp:posOffset>9251950</wp:posOffset>
                </wp:positionV>
                <wp:extent cx="6120130" cy="0"/>
                <wp:effectExtent l="13970" t="12700" r="9525" b="6350"/>
                <wp:wrapNone/>
                <wp:docPr id="22"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0.4pt;margin-top:728.5pt;height:0pt;width:481.9pt;mso-position-vertical-relative:page;z-index:251653120;mso-width-relative:page;mso-height-relative:page;" filled="f" stroked="t" coordsize="21600,21600" o:gfxdata="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pL4tNcA&#10;AAANAQAADwAAAAAAAAABACAAAAAiAAAAZHJzL2Rvd25yZXYueG1sUEsBAhQAFAAAAAgAh07iQOvH&#10;+H6uAQAAUgMAAA4AAAAAAAAAAQAgAAAAJgEAAGRycy9lMm9Eb2MueG1sUEsFBgAAAAAGAAYAWQEA&#10;AEYFAAAAAA==&#10;">
                <v:fill on="f" focussize="0,0"/>
                <v:stroke color="#000000" joinstyle="round"/>
                <v:imagedata o:title=""/>
                <o:lock v:ext="edit" aspectratio="f"/>
                <w10:anchorlock/>
              </v:line>
            </w:pict>
          </mc:Fallback>
        </mc:AlternateContent>
      </w:r>
      <w:r>
        <w:rPr>
          <w:rFonts w:hint="eastAsia"/>
        </w:rPr>
        <w:t>粤建公告〔</w:t>
      </w:r>
      <w:r>
        <w:t>202</w:t>
      </w:r>
      <w:r>
        <w:rPr>
          <w:rFonts w:hint="eastAsia"/>
        </w:rPr>
        <w:t>X</w:t>
      </w:r>
      <w:r>
        <w:t>〕X号</w:t>
      </w:r>
    </w:p>
    <w:p>
      <w:pPr>
        <w:ind w:firstLine="420" w:firstLineChars="200"/>
      </w:pPr>
      <w:r>
        <w:t>经组织专家委员会审查，现批准《装配式混凝土结构检测技术标准》为广东省地方标准，编号为DBJ/T XX-XXX-202</w:t>
      </w:r>
      <w:r>
        <w:rPr>
          <w:rFonts w:hint="eastAsia"/>
        </w:rPr>
        <w:t>X</w:t>
      </w:r>
      <w:r>
        <w:t>。本标准自202X年XX月XX日起实施。</w:t>
      </w:r>
    </w:p>
    <w:p>
      <w:pPr>
        <w:ind w:firstLine="420" w:firstLineChars="200"/>
      </w:pPr>
      <w:r>
        <w:t>本标准由广东省住房和城乡建设厅负责管理，</w:t>
      </w:r>
      <w:r>
        <w:rPr>
          <w:rFonts w:hint="eastAsia"/>
        </w:rPr>
        <w:t>由</w:t>
      </w:r>
      <w:r>
        <w:t>主编单位</w:t>
      </w:r>
      <w:bookmarkStart w:id="2" w:name="_Hlk521570161"/>
      <w:r>
        <w:t>广东省建筑科学研究院集团股份有限公司</w:t>
      </w:r>
      <w:r>
        <w:rPr>
          <w:rFonts w:hint="eastAsia"/>
        </w:rPr>
        <w:t>、广州市建筑科学研究院有限公司和广州建设工程质量安全检测中心有限公司</w:t>
      </w:r>
      <w:bookmarkEnd w:id="2"/>
      <w:r>
        <w:t>负责具体技术内容的解释</w:t>
      </w:r>
      <w:r>
        <w:rPr>
          <w:rFonts w:hint="eastAsia"/>
        </w:rPr>
        <w:t>，并在广东省住房和城乡建设厅门户网站（h</w:t>
      </w:r>
      <w:r>
        <w:t>ttp://zfcxjst.gd.gov.cn</w:t>
      </w:r>
      <w:r>
        <w:rPr>
          <w:rFonts w:hint="eastAsia"/>
        </w:rPr>
        <w:t>）公开。</w:t>
      </w:r>
    </w:p>
    <w:p/>
    <w:p>
      <w:pPr>
        <w:rPr>
          <w:rFonts w:eastAsia="黑体"/>
        </w:rPr>
      </w:pPr>
    </w:p>
    <w:p>
      <w:pPr>
        <w:rPr>
          <w:rFonts w:eastAsia="黑体"/>
        </w:rPr>
      </w:pPr>
    </w:p>
    <w:p>
      <w:pPr>
        <w:rPr>
          <w:rFonts w:eastAsia="黑体"/>
        </w:rPr>
      </w:pPr>
    </w:p>
    <w:p>
      <w:pPr>
        <w:rPr>
          <w:rFonts w:eastAsia="黑体"/>
        </w:rPr>
      </w:pPr>
    </w:p>
    <w:p>
      <w:pPr>
        <w:jc w:val="right"/>
        <w:rPr>
          <w:rFonts w:eastAsia="黑体"/>
        </w:rPr>
      </w:pPr>
      <w:bookmarkStart w:id="3" w:name="_Hlk26345738"/>
      <w:r>
        <w:rPr>
          <w:rFonts w:hint="eastAsia" w:eastAsia="黑体"/>
        </w:rPr>
        <w:t>广东省住房和城乡建设厅</w:t>
      </w:r>
    </w:p>
    <w:bookmarkEnd w:id="3"/>
    <w:p>
      <w:pPr>
        <w:jc w:val="center"/>
        <w:rPr>
          <w:rFonts w:eastAsia="黑体"/>
        </w:rPr>
        <w:sectPr>
          <w:footerReference r:id="rId4" w:type="default"/>
          <w:footerReference r:id="rId5" w:type="even"/>
          <w:pgSz w:w="7938" w:h="11510"/>
          <w:pgMar w:top="1083" w:right="1009" w:bottom="1083" w:left="1009" w:header="851" w:footer="992" w:gutter="0"/>
          <w:pgNumType w:start="3"/>
          <w:cols w:space="425" w:num="1"/>
          <w:docGrid w:type="lines" w:linePitch="312" w:charSpace="0"/>
        </w:sectPr>
      </w:pPr>
      <w:r>
        <w:rPr>
          <w:rFonts w:eastAsia="黑体"/>
        </w:rPr>
        <w:t xml:space="preserve">                                  202</w:t>
      </w:r>
      <w:r>
        <w:rPr>
          <w:rFonts w:hint="eastAsia" w:eastAsia="黑体"/>
        </w:rPr>
        <w:t>X</w:t>
      </w:r>
      <w:r>
        <w:rPr>
          <w:rFonts w:eastAsia="黑体"/>
        </w:rPr>
        <w:t>年XX月XX日</w:t>
      </w:r>
    </w:p>
    <w:p>
      <w:pPr>
        <w:spacing w:before="964" w:after="567" w:line="240" w:lineRule="auto"/>
        <w:jc w:val="center"/>
        <w:rPr>
          <w:rFonts w:ascii="黑体" w:hAnsi="黑体" w:eastAsia="黑体"/>
          <w:sz w:val="28"/>
          <w:szCs w:val="28"/>
        </w:rPr>
      </w:pPr>
      <w:r>
        <w:rPr>
          <w:rFonts w:hint="eastAsia" w:ascii="黑体" w:hAnsi="黑体" w:eastAsia="黑体"/>
          <w:sz w:val="28"/>
          <w:szCs w:val="28"/>
        </w:rPr>
        <w:t>前</w:t>
      </w:r>
      <w:r>
        <w:rPr>
          <w:rFonts w:ascii="黑体" w:hAnsi="黑体" w:eastAsia="黑体"/>
          <w:sz w:val="28"/>
          <w:szCs w:val="28"/>
        </w:rPr>
        <w:t>  言</w:t>
      </w:r>
    </w:p>
    <w:p>
      <w:pPr>
        <w:ind w:firstLine="420" w:firstLineChars="200"/>
      </w:pPr>
      <w:r>
        <w:t>根据《广东省住房和城乡建设厅关于下达广东省标准〈装配式混凝土结构检测技术标准〉编制任务的通知》（粤建科函〔2017〕2904号），编制组经过广泛的调查研究，认真总结实践经验，参考国内</w:t>
      </w:r>
      <w:r>
        <w:rPr>
          <w:rFonts w:hint="eastAsia"/>
        </w:rPr>
        <w:t>外有关标</w:t>
      </w:r>
      <w:r>
        <w:t>准，并在广泛征求意见的基础上，编制了本标准。</w:t>
      </w:r>
    </w:p>
    <w:p>
      <w:pPr>
        <w:ind w:firstLine="420" w:firstLineChars="200"/>
        <w:rPr>
          <w:color w:val="000000"/>
        </w:rPr>
      </w:pPr>
      <w:r>
        <w:rPr>
          <w:color w:val="000000"/>
        </w:rPr>
        <w:t>本标准的主要</w:t>
      </w:r>
      <w:r>
        <w:rPr>
          <w:rFonts w:hint="eastAsia"/>
          <w:color w:val="000000"/>
        </w:rPr>
        <w:t>技术</w:t>
      </w:r>
      <w:r>
        <w:rPr>
          <w:color w:val="000000"/>
        </w:rPr>
        <w:t>内容是：总则</w:t>
      </w:r>
      <w:r>
        <w:rPr>
          <w:rFonts w:hint="eastAsia"/>
          <w:color w:val="000000"/>
        </w:rPr>
        <w:t>、</w:t>
      </w:r>
      <w:r>
        <w:rPr>
          <w:color w:val="000000"/>
        </w:rPr>
        <w:t>术语</w:t>
      </w:r>
      <w:r>
        <w:rPr>
          <w:rFonts w:hint="eastAsia"/>
          <w:color w:val="000000"/>
        </w:rPr>
        <w:t>、基本规定、材料检测、预制构件进场检测、安装与连接质量检测、结构实体与整体性检验及有关附录。</w:t>
      </w:r>
    </w:p>
    <w:p>
      <w:pPr>
        <w:ind w:firstLine="420" w:firstLineChars="200"/>
      </w:pPr>
      <w:r>
        <w:t>本标准由广东省住房和城乡建设厅负责管理，</w:t>
      </w:r>
      <w:r>
        <w:rPr>
          <w:rFonts w:hint="eastAsia"/>
        </w:rPr>
        <w:t>广东省建筑科学研究院集团股份有限公司、广州市建筑科学研究院有限公司和广州建设工程质量安全检测中心有限公司</w:t>
      </w:r>
      <w:r>
        <w:t>负责具体技术内容的解释。执行过程中如有意见或建议，请寄送</w:t>
      </w:r>
      <w:r>
        <w:rPr>
          <w:rFonts w:hint="eastAsia"/>
        </w:rPr>
        <w:t>：</w:t>
      </w:r>
      <w:r>
        <w:t>广东省建筑科学研究院集团股份有限公司（地址：广东省广州市先烈东路121号，邮政编码：510500</w:t>
      </w:r>
      <w:r>
        <w:rPr>
          <w:rFonts w:hint="eastAsia"/>
        </w:rPr>
        <w:t>，邮箱：</w:t>
      </w:r>
      <w:r>
        <w:t>JGS@gdjky.com）。</w:t>
      </w:r>
    </w:p>
    <w:p>
      <w:pPr>
        <w:ind w:left="2505" w:leftChars="200" w:hanging="2085" w:hangingChars="750"/>
      </w:pPr>
      <w:r>
        <w:rPr>
          <w:rFonts w:eastAsia="黑体"/>
          <w:spacing w:val="34"/>
        </w:rPr>
        <w:t>本</w:t>
      </w:r>
      <w:r>
        <w:rPr>
          <w:rFonts w:hint="eastAsia" w:eastAsia="黑体"/>
          <w:spacing w:val="34"/>
        </w:rPr>
        <w:t>标准</w:t>
      </w:r>
      <w:r>
        <w:rPr>
          <w:rFonts w:eastAsia="黑体"/>
          <w:spacing w:val="34"/>
        </w:rPr>
        <w:t>主编单</w:t>
      </w:r>
      <w:r>
        <w:rPr>
          <w:rFonts w:eastAsia="黑体"/>
        </w:rPr>
        <w:t>位</w:t>
      </w:r>
      <w:r>
        <w:t>：</w:t>
      </w:r>
      <w:r>
        <w:rPr>
          <w:rFonts w:hint="eastAsia"/>
        </w:rPr>
        <w:t>广东省建筑科学研究院集团股份有限公司</w:t>
      </w:r>
    </w:p>
    <w:p>
      <w:pPr>
        <w:ind w:left="2520" w:leftChars="1200"/>
      </w:pPr>
      <w:r>
        <w:rPr>
          <w:rFonts w:hint="eastAsia"/>
        </w:rPr>
        <w:t>广州市建筑科学研究院有限公司</w:t>
      </w:r>
    </w:p>
    <w:p>
      <w:pPr>
        <w:ind w:left="2520" w:leftChars="1200"/>
      </w:pPr>
      <w:r>
        <w:rPr>
          <w:rFonts w:hint="eastAsia"/>
        </w:rPr>
        <w:t>广州建设工程质量安全检测中心有限公司</w:t>
      </w:r>
    </w:p>
    <w:p>
      <w:pPr>
        <w:ind w:left="420" w:leftChars="200"/>
        <w:rPr>
          <w:rFonts w:hint="eastAsia"/>
        </w:rPr>
      </w:pPr>
      <w:r>
        <w:rPr>
          <w:rFonts w:eastAsia="黑体"/>
          <w:spacing w:val="34"/>
        </w:rPr>
        <w:t>本</w:t>
      </w:r>
      <w:r>
        <w:rPr>
          <w:rFonts w:hint="eastAsia" w:eastAsia="黑体"/>
          <w:spacing w:val="34"/>
        </w:rPr>
        <w:t>标准参</w:t>
      </w:r>
      <w:r>
        <w:rPr>
          <w:rFonts w:eastAsia="黑体"/>
          <w:spacing w:val="34"/>
        </w:rPr>
        <w:t>编单</w:t>
      </w:r>
      <w:r>
        <w:rPr>
          <w:rFonts w:eastAsia="黑体"/>
        </w:rPr>
        <w:t>位</w:t>
      </w:r>
      <w:r>
        <w:t>：</w:t>
      </w:r>
      <w:r>
        <w:rPr>
          <w:rFonts w:hint="eastAsia"/>
        </w:rPr>
        <w:t>深圳市建设工程质量检测中心</w:t>
      </w:r>
    </w:p>
    <w:p>
      <w:pPr>
        <w:ind w:left="2520" w:leftChars="1200"/>
        <w:rPr>
          <w:rFonts w:hint="eastAsia"/>
        </w:rPr>
      </w:pPr>
      <w:r>
        <w:rPr>
          <w:rFonts w:hint="eastAsia"/>
        </w:rPr>
        <w:t>珠海市建设工程质量监督检测站</w:t>
      </w:r>
    </w:p>
    <w:p>
      <w:pPr>
        <w:ind w:left="2520" w:leftChars="1200"/>
        <w:rPr>
          <w:rFonts w:hint="eastAsia"/>
        </w:rPr>
      </w:pPr>
      <w:r>
        <w:rPr>
          <w:rFonts w:hint="eastAsia"/>
        </w:rPr>
        <w:t>东莞市建设工程检测中心</w:t>
      </w:r>
    </w:p>
    <w:p>
      <w:pPr>
        <w:ind w:left="2520" w:leftChars="1200"/>
        <w:rPr>
          <w:rFonts w:hint="eastAsia"/>
        </w:rPr>
      </w:pPr>
      <w:r>
        <w:rPr>
          <w:rFonts w:hint="eastAsia"/>
        </w:rPr>
        <w:t>东莞市建设工程质量监督站</w:t>
      </w:r>
    </w:p>
    <w:p>
      <w:pPr>
        <w:ind w:left="2520" w:leftChars="1200"/>
        <w:rPr>
          <w:rFonts w:hint="eastAsia"/>
        </w:rPr>
      </w:pPr>
      <w:r>
        <w:rPr>
          <w:rFonts w:hint="eastAsia"/>
        </w:rPr>
        <w:t>华南理工大学</w:t>
      </w:r>
    </w:p>
    <w:p>
      <w:pPr>
        <w:ind w:left="2520" w:leftChars="1200"/>
        <w:rPr>
          <w:rFonts w:hint="eastAsia"/>
        </w:rPr>
      </w:pPr>
      <w:r>
        <w:rPr>
          <w:rFonts w:hint="eastAsia"/>
        </w:rPr>
        <w:t>深圳市龙岗区工程质量监督检验站</w:t>
      </w:r>
    </w:p>
    <w:p>
      <w:pPr>
        <w:ind w:left="2520" w:leftChars="1200"/>
        <w:rPr>
          <w:rFonts w:hint="eastAsia"/>
        </w:rPr>
      </w:pPr>
      <w:r>
        <w:rPr>
          <w:rFonts w:hint="eastAsia"/>
        </w:rPr>
        <w:t>佛山市南海区建筑工程质量监督站</w:t>
      </w:r>
    </w:p>
    <w:p>
      <w:pPr>
        <w:ind w:left="2520" w:leftChars="1200"/>
        <w:rPr>
          <w:rFonts w:hint="eastAsia"/>
        </w:rPr>
      </w:pPr>
      <w:r>
        <w:rPr>
          <w:rFonts w:hint="eastAsia"/>
        </w:rPr>
        <w:t>广东省建科建筑设计院有限公司</w:t>
      </w:r>
    </w:p>
    <w:p>
      <w:pPr>
        <w:ind w:left="2520" w:leftChars="1200"/>
        <w:rPr>
          <w:rFonts w:hint="eastAsia"/>
        </w:rPr>
      </w:pPr>
      <w:r>
        <w:rPr>
          <w:rFonts w:hint="eastAsia"/>
        </w:rPr>
        <w:t>阳江市建设工程质量检测中心</w:t>
      </w:r>
    </w:p>
    <w:p>
      <w:pPr>
        <w:ind w:left="2520" w:leftChars="1200"/>
      </w:pPr>
      <w:r>
        <w:rPr>
          <w:rFonts w:hint="eastAsia"/>
        </w:rPr>
        <w:t>北京智博联科技股份有限公司</w:t>
      </w:r>
    </w:p>
    <w:p>
      <w:pPr>
        <w:ind w:left="420" w:leftChars="200"/>
        <w:rPr>
          <w:rFonts w:hint="eastAsia"/>
        </w:rPr>
      </w:pPr>
      <w:r>
        <w:rPr>
          <w:rFonts w:hint="eastAsia" w:eastAsia="黑体"/>
        </w:rPr>
        <w:t>本标准</w:t>
      </w:r>
      <w:r>
        <w:rPr>
          <w:rFonts w:eastAsia="黑体"/>
        </w:rPr>
        <w:t>主要起草人员</w:t>
      </w:r>
      <w:r>
        <w:t>：</w:t>
      </w:r>
      <w:r>
        <w:rPr>
          <w:rFonts w:hint="eastAsia"/>
        </w:rPr>
        <w:t xml:space="preserve">邓 </w:t>
      </w:r>
      <w:r>
        <w:t xml:space="preserve"> </w:t>
      </w:r>
      <w:r>
        <w:rPr>
          <w:rFonts w:hint="eastAsia"/>
        </w:rPr>
        <w:t xml:space="preserve">浩 </w:t>
      </w:r>
      <w:r>
        <w:t xml:space="preserve">  </w:t>
      </w:r>
      <w:r>
        <w:rPr>
          <w:rFonts w:hint="eastAsia"/>
        </w:rPr>
        <w:t xml:space="preserve">谭学民 </w:t>
      </w:r>
      <w:r>
        <w:t xml:space="preserve">  </w:t>
      </w:r>
      <w:r>
        <w:rPr>
          <w:rFonts w:hint="eastAsia"/>
        </w:rPr>
        <w:t xml:space="preserve">曾 </w:t>
      </w:r>
      <w:r>
        <w:t xml:space="preserve"> </w:t>
      </w:r>
      <w:r>
        <w:rPr>
          <w:rFonts w:hint="eastAsia"/>
        </w:rPr>
        <w:t xml:space="preserve">宏 </w:t>
      </w:r>
      <w:r>
        <w:t xml:space="preserve">  </w:t>
      </w:r>
      <w:r>
        <w:rPr>
          <w:rFonts w:hint="eastAsia"/>
        </w:rPr>
        <w:t xml:space="preserve">徐 </w:t>
      </w:r>
      <w:r>
        <w:t xml:space="preserve"> </w:t>
      </w:r>
      <w:r>
        <w:rPr>
          <w:rFonts w:hint="eastAsia"/>
        </w:rPr>
        <w:t>劲</w:t>
      </w:r>
    </w:p>
    <w:p>
      <w:pPr>
        <w:ind w:left="2457" w:leftChars="1170"/>
      </w:pPr>
      <w:r>
        <w:rPr>
          <w:rFonts w:hint="eastAsia"/>
        </w:rPr>
        <w:t>匡妍艺</w:t>
      </w:r>
      <w:r>
        <w:rPr>
          <w:rFonts w:hint="eastAsia"/>
          <w:spacing w:val="-2"/>
        </w:rPr>
        <w:t xml:space="preserve"> </w:t>
      </w:r>
      <w:r>
        <w:rPr>
          <w:spacing w:val="-2"/>
        </w:rPr>
        <w:t xml:space="preserve">  </w:t>
      </w:r>
      <w:r>
        <w:rPr>
          <w:rFonts w:hint="eastAsia"/>
        </w:rPr>
        <w:t xml:space="preserve">祝 </w:t>
      </w:r>
      <w:r>
        <w:t xml:space="preserve"> </w:t>
      </w:r>
      <w:r>
        <w:rPr>
          <w:rFonts w:hint="eastAsia"/>
        </w:rPr>
        <w:t xml:space="preserve">雯 </w:t>
      </w:r>
      <w:r>
        <w:t xml:space="preserve">  </w:t>
      </w:r>
      <w:r>
        <w:rPr>
          <w:rFonts w:hint="eastAsia"/>
        </w:rPr>
        <w:t xml:space="preserve">宋雄彬 </w:t>
      </w:r>
      <w:r>
        <w:t xml:space="preserve">  </w:t>
      </w:r>
      <w:r>
        <w:rPr>
          <w:rFonts w:hint="eastAsia"/>
        </w:rPr>
        <w:t>杨勇华</w:t>
      </w:r>
    </w:p>
    <w:p>
      <w:pPr>
        <w:ind w:left="2457" w:leftChars="1170"/>
      </w:pPr>
      <w:r>
        <w:rPr>
          <w:rFonts w:hint="eastAsia"/>
        </w:rPr>
        <w:t>刘绪普</w:t>
      </w:r>
      <w:r>
        <w:rPr>
          <w:rFonts w:hint="eastAsia"/>
          <w:spacing w:val="-2"/>
        </w:rPr>
        <w:t xml:space="preserve"> </w:t>
      </w:r>
      <w:r>
        <w:rPr>
          <w:spacing w:val="-2"/>
        </w:rPr>
        <w:t xml:space="preserve">  </w:t>
      </w:r>
      <w:r>
        <w:rPr>
          <w:rFonts w:hint="eastAsia"/>
        </w:rPr>
        <w:t xml:space="preserve">许 </w:t>
      </w:r>
      <w:r>
        <w:t xml:space="preserve"> </w:t>
      </w:r>
      <w:r>
        <w:rPr>
          <w:rFonts w:hint="eastAsia"/>
        </w:rPr>
        <w:t xml:space="preserve">锴 </w:t>
      </w:r>
      <w:r>
        <w:t xml:space="preserve">  </w:t>
      </w:r>
      <w:r>
        <w:rPr>
          <w:rFonts w:hint="eastAsia"/>
        </w:rPr>
        <w:t xml:space="preserve">孔怀胜 </w:t>
      </w:r>
      <w:r>
        <w:t xml:space="preserve">  </w:t>
      </w:r>
      <w:r>
        <w:rPr>
          <w:rFonts w:hint="eastAsia"/>
        </w:rPr>
        <w:t xml:space="preserve">曹 </w:t>
      </w:r>
      <w:r>
        <w:t xml:space="preserve"> </w:t>
      </w:r>
      <w:r>
        <w:rPr>
          <w:rFonts w:hint="eastAsia"/>
        </w:rPr>
        <w:t>伟</w:t>
      </w:r>
    </w:p>
    <w:p>
      <w:pPr>
        <w:ind w:left="2457" w:leftChars="1170"/>
      </w:pPr>
      <w:r>
        <w:rPr>
          <w:rFonts w:hint="eastAsia"/>
        </w:rPr>
        <w:t xml:space="preserve">杨 </w:t>
      </w:r>
      <w:r>
        <w:t xml:space="preserve"> </w:t>
      </w:r>
      <w:r>
        <w:rPr>
          <w:rFonts w:hint="eastAsia"/>
        </w:rPr>
        <w:t>春</w:t>
      </w:r>
      <w:r>
        <w:rPr>
          <w:rFonts w:hint="eastAsia"/>
          <w:spacing w:val="-2"/>
        </w:rPr>
        <w:t xml:space="preserve"> </w:t>
      </w:r>
      <w:r>
        <w:rPr>
          <w:spacing w:val="-2"/>
        </w:rPr>
        <w:t xml:space="preserve">  </w:t>
      </w:r>
      <w:r>
        <w:rPr>
          <w:rFonts w:hint="eastAsia"/>
        </w:rPr>
        <w:t xml:space="preserve">孙志东 </w:t>
      </w:r>
      <w:r>
        <w:t xml:space="preserve">  </w:t>
      </w:r>
      <w:r>
        <w:rPr>
          <w:rFonts w:hint="eastAsia"/>
        </w:rPr>
        <w:t xml:space="preserve">黎俭浦 </w:t>
      </w:r>
      <w:r>
        <w:t xml:space="preserve">  </w:t>
      </w:r>
      <w:r>
        <w:rPr>
          <w:rFonts w:hint="eastAsia"/>
        </w:rPr>
        <w:t xml:space="preserve">李 </w:t>
      </w:r>
      <w:r>
        <w:t xml:space="preserve"> </w:t>
      </w:r>
      <w:r>
        <w:rPr>
          <w:rFonts w:hint="eastAsia"/>
        </w:rPr>
        <w:t>娜</w:t>
      </w:r>
    </w:p>
    <w:p>
      <w:pPr>
        <w:ind w:left="2457" w:leftChars="1170"/>
        <w:rPr>
          <w:rFonts w:hint="eastAsia"/>
        </w:rPr>
      </w:pPr>
      <w:r>
        <w:rPr>
          <w:rFonts w:hint="eastAsia"/>
        </w:rPr>
        <w:t>梁向阳</w:t>
      </w:r>
      <w:r>
        <w:rPr>
          <w:rFonts w:hint="eastAsia"/>
          <w:spacing w:val="-2"/>
        </w:rPr>
        <w:t xml:space="preserve"> </w:t>
      </w:r>
      <w:r>
        <w:rPr>
          <w:spacing w:val="-2"/>
        </w:rPr>
        <w:t xml:space="preserve">  </w:t>
      </w:r>
      <w:r>
        <w:rPr>
          <w:rFonts w:hint="eastAsia"/>
        </w:rPr>
        <w:t xml:space="preserve">张全旭 </w:t>
      </w:r>
      <w:r>
        <w:t xml:space="preserve">  </w:t>
      </w:r>
      <w:r>
        <w:rPr>
          <w:rFonts w:hint="eastAsia"/>
        </w:rPr>
        <w:t xml:space="preserve">余忠辉 </w:t>
      </w:r>
      <w:r>
        <w:t xml:space="preserve">  </w:t>
      </w:r>
      <w:r>
        <w:rPr>
          <w:rFonts w:hint="eastAsia"/>
        </w:rPr>
        <w:t>江卫平</w:t>
      </w:r>
    </w:p>
    <w:p>
      <w:pPr>
        <w:ind w:firstLine="420" w:firstLineChars="200"/>
        <w:rPr>
          <w:rFonts w:hint="eastAsia"/>
          <w:color w:val="000000"/>
          <w:kern w:val="0"/>
        </w:rPr>
      </w:pPr>
      <w:r>
        <w:rPr>
          <w:rFonts w:hint="eastAsia" w:eastAsia="黑体"/>
        </w:rPr>
        <w:t>本标准</w:t>
      </w:r>
      <w:r>
        <w:rPr>
          <w:rFonts w:eastAsia="黑体"/>
        </w:rPr>
        <w:t>主要</w:t>
      </w:r>
      <w:r>
        <w:rPr>
          <w:rFonts w:hint="eastAsia" w:eastAsia="黑体"/>
        </w:rPr>
        <w:t>审查</w:t>
      </w:r>
      <w:r>
        <w:rPr>
          <w:rFonts w:eastAsia="黑体"/>
        </w:rPr>
        <w:t>人</w:t>
      </w:r>
      <w:r>
        <w:rPr>
          <w:rFonts w:eastAsia="黑体"/>
          <w:color w:val="000000"/>
        </w:rPr>
        <w:t>员</w:t>
      </w:r>
      <w:r>
        <w:rPr>
          <w:color w:val="000000"/>
          <w:spacing w:val="-28"/>
        </w:rPr>
        <w:t>：</w:t>
      </w:r>
    </w:p>
    <w:p>
      <w:pPr>
        <w:ind w:firstLine="420" w:firstLineChars="200"/>
        <w:sectPr>
          <w:footerReference r:id="rId6" w:type="even"/>
          <w:pgSz w:w="7938" w:h="11510"/>
          <w:pgMar w:top="1083" w:right="1009" w:bottom="1083" w:left="1009" w:header="851" w:footer="992" w:gutter="0"/>
          <w:cols w:space="425" w:num="1"/>
          <w:docGrid w:type="lines" w:linePitch="312" w:charSpace="0"/>
        </w:sectPr>
      </w:pPr>
    </w:p>
    <w:p>
      <w:pPr>
        <w:spacing w:before="964" w:after="567" w:line="240" w:lineRule="auto"/>
        <w:jc w:val="center"/>
        <w:rPr>
          <w:rFonts w:ascii="黑体" w:hAnsi="黑体" w:eastAsia="仿宋"/>
          <w:sz w:val="28"/>
          <w:szCs w:val="28"/>
        </w:rPr>
      </w:pPr>
      <w:r>
        <w:rPr>
          <w:rFonts w:hint="eastAsia" w:ascii="黑体" w:hAnsi="黑体" w:eastAsia="仿宋"/>
          <w:sz w:val="28"/>
          <w:szCs w:val="28"/>
        </w:rPr>
        <w:t>目  次</w:t>
      </w:r>
    </w:p>
    <w:p>
      <w:pPr>
        <w:pStyle w:val="17"/>
        <w:tabs>
          <w:tab w:val="right" w:leader="dot" w:pos="5910"/>
        </w:tabs>
        <w:rPr>
          <w:rFonts w:ascii="Times New Roman" w:eastAsiaTheme="minorEastAsia"/>
          <w:szCs w:val="22"/>
        </w:rPr>
      </w:pPr>
      <w:r>
        <w:rPr>
          <w:rFonts w:ascii="Times New Roman" w:eastAsia="宋体"/>
          <w:color w:val="FF0000"/>
          <w:szCs w:val="21"/>
        </w:rPr>
        <w:fldChar w:fldCharType="begin"/>
      </w:r>
      <w:r>
        <w:rPr>
          <w:rFonts w:ascii="Times New Roman" w:eastAsia="宋体"/>
          <w:color w:val="FF0000"/>
          <w:szCs w:val="21"/>
        </w:rPr>
        <w:instrText xml:space="preserve"> TOC \o "1-2" </w:instrText>
      </w:r>
      <w:r>
        <w:rPr>
          <w:rFonts w:ascii="Times New Roman" w:eastAsia="宋体"/>
          <w:color w:val="FF0000"/>
          <w:szCs w:val="21"/>
        </w:rPr>
        <w:fldChar w:fldCharType="separate"/>
      </w:r>
      <w:r>
        <w:rPr>
          <w:rFonts w:ascii="Times New Roman"/>
        </w:rPr>
        <w:t xml:space="preserve">1  </w:t>
      </w:r>
      <w:r>
        <w:rPr>
          <w:rFonts w:ascii="Times New Roman" w:eastAsia="宋体"/>
        </w:rPr>
        <w:t>总</w:t>
      </w:r>
      <w:r>
        <w:rPr>
          <w:rFonts w:ascii="Times New Roman"/>
        </w:rPr>
        <w:t xml:space="preserve">  </w:t>
      </w:r>
      <w:r>
        <w:rPr>
          <w:rFonts w:ascii="Times New Roman" w:eastAsia="宋体"/>
        </w:rPr>
        <w:t>则</w:t>
      </w:r>
      <w:r>
        <w:rPr>
          <w:rFonts w:ascii="Times New Roman"/>
        </w:rPr>
        <w:tab/>
      </w:r>
      <w:r>
        <w:rPr>
          <w:rFonts w:ascii="Times New Roman"/>
        </w:rPr>
        <w:fldChar w:fldCharType="begin"/>
      </w:r>
      <w:r>
        <w:rPr>
          <w:rFonts w:ascii="Times New Roman"/>
        </w:rPr>
        <w:instrText xml:space="preserve"> PAGEREF _Toc17273643 \h </w:instrText>
      </w:r>
      <w:r>
        <w:rPr>
          <w:rFonts w:ascii="Times New Roman"/>
        </w:rPr>
        <w:fldChar w:fldCharType="separate"/>
      </w:r>
      <w:r>
        <w:rPr>
          <w:rFonts w:ascii="Times New Roman"/>
        </w:rPr>
        <w:t>1</w:t>
      </w:r>
      <w:r>
        <w:rPr>
          <w:rFonts w:ascii="Times New Roman"/>
        </w:rPr>
        <w:fldChar w:fldCharType="end"/>
      </w:r>
    </w:p>
    <w:p>
      <w:pPr>
        <w:pStyle w:val="17"/>
        <w:tabs>
          <w:tab w:val="right" w:leader="dot" w:pos="5910"/>
        </w:tabs>
        <w:rPr>
          <w:rFonts w:ascii="Times New Roman" w:eastAsiaTheme="minorEastAsia"/>
          <w:szCs w:val="22"/>
        </w:rPr>
      </w:pPr>
      <w:r>
        <w:rPr>
          <w:rFonts w:ascii="Times New Roman"/>
        </w:rPr>
        <w:t xml:space="preserve">2  </w:t>
      </w:r>
      <w:r>
        <w:rPr>
          <w:rFonts w:ascii="Times New Roman" w:eastAsia="宋体"/>
        </w:rPr>
        <w:t>术</w:t>
      </w:r>
      <w:r>
        <w:rPr>
          <w:rFonts w:ascii="Times New Roman"/>
        </w:rPr>
        <w:t xml:space="preserve">  </w:t>
      </w:r>
      <w:r>
        <w:rPr>
          <w:rFonts w:ascii="Times New Roman" w:eastAsia="宋体"/>
        </w:rPr>
        <w:t>语</w:t>
      </w:r>
      <w:r>
        <w:rPr>
          <w:rFonts w:ascii="Times New Roman"/>
        </w:rPr>
        <w:tab/>
      </w:r>
      <w:r>
        <w:rPr>
          <w:rFonts w:ascii="Times New Roman"/>
        </w:rPr>
        <w:fldChar w:fldCharType="begin"/>
      </w:r>
      <w:r>
        <w:rPr>
          <w:rFonts w:ascii="Times New Roman"/>
        </w:rPr>
        <w:instrText xml:space="preserve"> PAGEREF _Toc17273644 \h </w:instrText>
      </w:r>
      <w:r>
        <w:rPr>
          <w:rFonts w:ascii="Times New Roman"/>
        </w:rPr>
        <w:fldChar w:fldCharType="separate"/>
      </w:r>
      <w:r>
        <w:rPr>
          <w:rFonts w:ascii="Times New Roman"/>
        </w:rPr>
        <w:t>2</w:t>
      </w:r>
      <w:r>
        <w:rPr>
          <w:rFonts w:ascii="Times New Roman"/>
        </w:rPr>
        <w:fldChar w:fldCharType="end"/>
      </w:r>
    </w:p>
    <w:p>
      <w:pPr>
        <w:pStyle w:val="17"/>
        <w:tabs>
          <w:tab w:val="right" w:leader="dot" w:pos="5910"/>
        </w:tabs>
        <w:rPr>
          <w:rFonts w:ascii="Times New Roman" w:eastAsiaTheme="minorEastAsia"/>
          <w:szCs w:val="22"/>
        </w:rPr>
      </w:pPr>
      <w:r>
        <w:rPr>
          <w:rFonts w:ascii="Times New Roman"/>
        </w:rPr>
        <w:t xml:space="preserve">3  </w:t>
      </w:r>
      <w:r>
        <w:rPr>
          <w:rFonts w:ascii="Times New Roman" w:eastAsia="宋体"/>
        </w:rPr>
        <w:t>基本规定</w:t>
      </w:r>
      <w:r>
        <w:rPr>
          <w:rFonts w:ascii="Times New Roman"/>
        </w:rPr>
        <w:tab/>
      </w:r>
      <w:r>
        <w:rPr>
          <w:rFonts w:ascii="Times New Roman"/>
        </w:rPr>
        <w:fldChar w:fldCharType="begin"/>
      </w:r>
      <w:r>
        <w:rPr>
          <w:rFonts w:ascii="Times New Roman"/>
        </w:rPr>
        <w:instrText xml:space="preserve"> PAGEREF _Toc17273645 \h </w:instrText>
      </w:r>
      <w:r>
        <w:rPr>
          <w:rFonts w:ascii="Times New Roman"/>
        </w:rPr>
        <w:fldChar w:fldCharType="separate"/>
      </w:r>
      <w:r>
        <w:rPr>
          <w:rFonts w:ascii="Times New Roman"/>
        </w:rPr>
        <w:t>4</w:t>
      </w:r>
      <w:r>
        <w:rPr>
          <w:rFonts w:ascii="Times New Roman"/>
        </w:rPr>
        <w:fldChar w:fldCharType="end"/>
      </w:r>
    </w:p>
    <w:p>
      <w:pPr>
        <w:pStyle w:val="17"/>
        <w:tabs>
          <w:tab w:val="right" w:leader="dot" w:pos="5910"/>
        </w:tabs>
        <w:rPr>
          <w:rFonts w:ascii="Times New Roman" w:eastAsiaTheme="minorEastAsia"/>
          <w:szCs w:val="22"/>
        </w:rPr>
      </w:pPr>
      <w:r>
        <w:rPr>
          <w:rFonts w:ascii="Times New Roman"/>
        </w:rPr>
        <w:t xml:space="preserve">4  </w:t>
      </w:r>
      <w:r>
        <w:rPr>
          <w:rFonts w:ascii="Times New Roman" w:eastAsia="宋体"/>
        </w:rPr>
        <w:t>材料检测</w:t>
      </w:r>
      <w:r>
        <w:rPr>
          <w:rFonts w:ascii="Times New Roman"/>
        </w:rPr>
        <w:tab/>
      </w:r>
      <w:r>
        <w:rPr>
          <w:rFonts w:ascii="Times New Roman"/>
        </w:rPr>
        <w:fldChar w:fldCharType="begin"/>
      </w:r>
      <w:r>
        <w:rPr>
          <w:rFonts w:ascii="Times New Roman"/>
        </w:rPr>
        <w:instrText xml:space="preserve"> PAGEREF _Toc17273646 \h </w:instrText>
      </w:r>
      <w:r>
        <w:rPr>
          <w:rFonts w:ascii="Times New Roman"/>
        </w:rPr>
        <w:fldChar w:fldCharType="separate"/>
      </w:r>
      <w:r>
        <w:rPr>
          <w:rFonts w:ascii="Times New Roman"/>
        </w:rPr>
        <w:t>7</w:t>
      </w:r>
      <w:r>
        <w:rPr>
          <w:rFonts w:ascii="Times New Roman"/>
        </w:rPr>
        <w:fldChar w:fldCharType="end"/>
      </w:r>
    </w:p>
    <w:p>
      <w:pPr>
        <w:pStyle w:val="20"/>
        <w:tabs>
          <w:tab w:val="right" w:leader="dot" w:pos="5910"/>
        </w:tabs>
        <w:rPr>
          <w:rFonts w:ascii="Times New Roman" w:eastAsiaTheme="minorEastAsia"/>
          <w:bCs/>
          <w:sz w:val="21"/>
          <w:szCs w:val="22"/>
        </w:rPr>
      </w:pPr>
      <w:r>
        <w:rPr>
          <w:rFonts w:ascii="Times New Roman"/>
          <w:bCs/>
        </w:rPr>
        <w:t xml:space="preserve">4.1  </w:t>
      </w:r>
      <w:r>
        <w:rPr>
          <w:rFonts w:ascii="Times New Roman" w:eastAsia="宋体"/>
          <w:bCs/>
        </w:rPr>
        <w:t>一般规定</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_Toc17273647 \h </w:instrText>
      </w:r>
      <w:r>
        <w:rPr>
          <w:rFonts w:ascii="Times New Roman"/>
          <w:bCs/>
          <w:sz w:val="21"/>
          <w:szCs w:val="21"/>
        </w:rPr>
        <w:fldChar w:fldCharType="separate"/>
      </w:r>
      <w:r>
        <w:rPr>
          <w:rFonts w:ascii="Times New Roman"/>
          <w:bCs/>
          <w:sz w:val="21"/>
          <w:szCs w:val="21"/>
        </w:rPr>
        <w:t>7</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4.2  </w:t>
      </w:r>
      <w:r>
        <w:rPr>
          <w:rFonts w:ascii="Times New Roman" w:eastAsia="宋体"/>
          <w:bCs/>
        </w:rPr>
        <w:t>混凝土</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_Toc17273648 \h </w:instrText>
      </w:r>
      <w:r>
        <w:rPr>
          <w:rFonts w:ascii="Times New Roman"/>
          <w:bCs/>
          <w:sz w:val="21"/>
          <w:szCs w:val="21"/>
        </w:rPr>
        <w:fldChar w:fldCharType="separate"/>
      </w:r>
      <w:r>
        <w:rPr>
          <w:rFonts w:ascii="Times New Roman"/>
          <w:bCs/>
          <w:sz w:val="21"/>
          <w:szCs w:val="21"/>
        </w:rPr>
        <w:t>7</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4.3  </w:t>
      </w:r>
      <w:r>
        <w:rPr>
          <w:rFonts w:ascii="Times New Roman" w:eastAsia="宋体"/>
          <w:bCs/>
        </w:rPr>
        <w:t>钢筋及钢材</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_Toc17273649 \h </w:instrText>
      </w:r>
      <w:r>
        <w:rPr>
          <w:rFonts w:ascii="Times New Roman"/>
          <w:bCs/>
          <w:sz w:val="21"/>
          <w:szCs w:val="21"/>
        </w:rPr>
        <w:fldChar w:fldCharType="separate"/>
      </w:r>
      <w:r>
        <w:rPr>
          <w:rFonts w:ascii="Times New Roman"/>
          <w:bCs/>
          <w:sz w:val="21"/>
          <w:szCs w:val="21"/>
        </w:rPr>
        <w:t>8</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4.4  </w:t>
      </w:r>
      <w:r>
        <w:rPr>
          <w:rFonts w:ascii="Times New Roman" w:eastAsia="宋体"/>
          <w:bCs/>
        </w:rPr>
        <w:t>连接材料</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_Toc17273650 \h </w:instrText>
      </w:r>
      <w:r>
        <w:rPr>
          <w:rFonts w:ascii="Times New Roman"/>
          <w:bCs/>
          <w:sz w:val="21"/>
          <w:szCs w:val="21"/>
        </w:rPr>
        <w:fldChar w:fldCharType="separate"/>
      </w:r>
      <w:r>
        <w:rPr>
          <w:rFonts w:ascii="Times New Roman"/>
          <w:bCs/>
          <w:sz w:val="21"/>
          <w:szCs w:val="21"/>
        </w:rPr>
        <w:t>8</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4.5  </w:t>
      </w:r>
      <w:r>
        <w:rPr>
          <w:rFonts w:ascii="Times New Roman" w:eastAsia="宋体"/>
          <w:bCs/>
        </w:rPr>
        <w:t>其它材料</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_Toc17273651 \h </w:instrText>
      </w:r>
      <w:r>
        <w:rPr>
          <w:rFonts w:ascii="Times New Roman"/>
          <w:bCs/>
          <w:sz w:val="21"/>
          <w:szCs w:val="21"/>
        </w:rPr>
        <w:fldChar w:fldCharType="separate"/>
      </w:r>
      <w:r>
        <w:rPr>
          <w:rFonts w:ascii="Times New Roman"/>
          <w:bCs/>
          <w:sz w:val="21"/>
          <w:szCs w:val="21"/>
        </w:rPr>
        <w:t>9</w:t>
      </w:r>
      <w:r>
        <w:rPr>
          <w:rFonts w:ascii="Times New Roman"/>
          <w:bCs/>
          <w:sz w:val="21"/>
          <w:szCs w:val="21"/>
        </w:rPr>
        <w:fldChar w:fldCharType="end"/>
      </w:r>
    </w:p>
    <w:p>
      <w:pPr>
        <w:pStyle w:val="17"/>
        <w:tabs>
          <w:tab w:val="right" w:leader="dot" w:pos="5910"/>
        </w:tabs>
        <w:rPr>
          <w:rFonts w:ascii="Times New Roman" w:eastAsiaTheme="minorEastAsia"/>
          <w:szCs w:val="22"/>
        </w:rPr>
      </w:pPr>
      <w:r>
        <w:rPr>
          <w:rFonts w:ascii="Times New Roman"/>
        </w:rPr>
        <w:t xml:space="preserve">5  </w:t>
      </w:r>
      <w:r>
        <w:rPr>
          <w:rFonts w:ascii="Times New Roman" w:eastAsia="宋体"/>
        </w:rPr>
        <w:t>预制构件进场检测</w:t>
      </w:r>
      <w:r>
        <w:rPr>
          <w:rFonts w:ascii="Times New Roman"/>
        </w:rPr>
        <w:tab/>
      </w:r>
      <w:r>
        <w:rPr>
          <w:rFonts w:ascii="Times New Roman"/>
        </w:rPr>
        <w:fldChar w:fldCharType="begin"/>
      </w:r>
      <w:r>
        <w:rPr>
          <w:rFonts w:ascii="Times New Roman"/>
        </w:rPr>
        <w:instrText xml:space="preserve"> PAGEREF _Toc17273652 \h </w:instrText>
      </w:r>
      <w:r>
        <w:rPr>
          <w:rFonts w:ascii="Times New Roman"/>
        </w:rPr>
        <w:fldChar w:fldCharType="separate"/>
      </w:r>
      <w:r>
        <w:rPr>
          <w:rFonts w:ascii="Times New Roman"/>
        </w:rPr>
        <w:t>11</w:t>
      </w:r>
      <w:r>
        <w:rPr>
          <w:rFonts w:ascii="Times New Roman"/>
        </w:rPr>
        <w:fldChar w:fldCharType="end"/>
      </w:r>
    </w:p>
    <w:p>
      <w:pPr>
        <w:pStyle w:val="20"/>
        <w:tabs>
          <w:tab w:val="right" w:leader="dot" w:pos="5910"/>
        </w:tabs>
        <w:rPr>
          <w:rFonts w:ascii="Times New Roman" w:eastAsiaTheme="minorEastAsia"/>
          <w:bCs/>
          <w:sz w:val="21"/>
          <w:szCs w:val="22"/>
        </w:rPr>
      </w:pPr>
      <w:r>
        <w:rPr>
          <w:rFonts w:ascii="Times New Roman"/>
          <w:bCs/>
        </w:rPr>
        <w:t xml:space="preserve">5.1  </w:t>
      </w:r>
      <w:r>
        <w:rPr>
          <w:rFonts w:ascii="Times New Roman" w:eastAsia="宋体"/>
          <w:bCs/>
        </w:rPr>
        <w:t>一般规定</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_Toc17273653 \h </w:instrText>
      </w:r>
      <w:r>
        <w:rPr>
          <w:rFonts w:ascii="Times New Roman"/>
          <w:bCs/>
          <w:sz w:val="21"/>
          <w:szCs w:val="21"/>
        </w:rPr>
        <w:fldChar w:fldCharType="separate"/>
      </w:r>
      <w:r>
        <w:rPr>
          <w:rFonts w:ascii="Times New Roman"/>
          <w:bCs/>
          <w:sz w:val="21"/>
          <w:szCs w:val="21"/>
        </w:rPr>
        <w:t>11</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5.2  </w:t>
      </w:r>
      <w:r>
        <w:rPr>
          <w:rFonts w:ascii="Times New Roman" w:eastAsia="宋体"/>
          <w:bCs/>
        </w:rPr>
        <w:t>混凝土强度</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_Toc17273654 \h </w:instrText>
      </w:r>
      <w:r>
        <w:rPr>
          <w:rFonts w:ascii="Times New Roman"/>
          <w:bCs/>
          <w:sz w:val="21"/>
          <w:szCs w:val="21"/>
        </w:rPr>
        <w:fldChar w:fldCharType="separate"/>
      </w:r>
      <w:r>
        <w:rPr>
          <w:rFonts w:ascii="Times New Roman"/>
          <w:bCs/>
          <w:sz w:val="21"/>
          <w:szCs w:val="21"/>
        </w:rPr>
        <w:t>11</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5.3  </w:t>
      </w:r>
      <w:r>
        <w:rPr>
          <w:rFonts w:ascii="Times New Roman" w:eastAsia="宋体"/>
          <w:bCs/>
        </w:rPr>
        <w:t>构件缺陷</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_Toc17273655 \h </w:instrText>
      </w:r>
      <w:r>
        <w:rPr>
          <w:rFonts w:ascii="Times New Roman"/>
          <w:bCs/>
          <w:sz w:val="21"/>
          <w:szCs w:val="21"/>
        </w:rPr>
        <w:fldChar w:fldCharType="separate"/>
      </w:r>
      <w:r>
        <w:rPr>
          <w:rFonts w:ascii="Times New Roman"/>
          <w:bCs/>
          <w:sz w:val="21"/>
          <w:szCs w:val="21"/>
        </w:rPr>
        <w:t>12</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5.4  </w:t>
      </w:r>
      <w:r>
        <w:rPr>
          <w:rFonts w:ascii="Times New Roman" w:eastAsia="宋体"/>
          <w:bCs/>
        </w:rPr>
        <w:t>尺寸偏差</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_Toc17273656 \h </w:instrText>
      </w:r>
      <w:r>
        <w:rPr>
          <w:rFonts w:ascii="Times New Roman"/>
          <w:bCs/>
          <w:sz w:val="21"/>
          <w:szCs w:val="21"/>
        </w:rPr>
        <w:fldChar w:fldCharType="separate"/>
      </w:r>
      <w:r>
        <w:rPr>
          <w:rFonts w:ascii="Times New Roman"/>
          <w:bCs/>
          <w:sz w:val="21"/>
          <w:szCs w:val="21"/>
        </w:rPr>
        <w:t>12</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5.5  </w:t>
      </w:r>
      <w:r>
        <w:rPr>
          <w:rFonts w:ascii="Times New Roman" w:eastAsia="宋体"/>
          <w:bCs/>
        </w:rPr>
        <w:t>钢筋配置</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_Toc17273657 \h </w:instrText>
      </w:r>
      <w:r>
        <w:rPr>
          <w:rFonts w:ascii="Times New Roman"/>
          <w:bCs/>
          <w:sz w:val="21"/>
          <w:szCs w:val="21"/>
        </w:rPr>
        <w:fldChar w:fldCharType="separate"/>
      </w:r>
      <w:r>
        <w:rPr>
          <w:rFonts w:ascii="Times New Roman"/>
          <w:bCs/>
          <w:sz w:val="21"/>
          <w:szCs w:val="21"/>
        </w:rPr>
        <w:t>14</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5.6  </w:t>
      </w:r>
      <w:r>
        <w:rPr>
          <w:rFonts w:ascii="Times New Roman" w:eastAsia="宋体"/>
          <w:bCs/>
        </w:rPr>
        <w:t>构件性能</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_Toc17273658 \h </w:instrText>
      </w:r>
      <w:r>
        <w:rPr>
          <w:rFonts w:ascii="Times New Roman"/>
          <w:bCs/>
          <w:sz w:val="21"/>
          <w:szCs w:val="21"/>
        </w:rPr>
        <w:fldChar w:fldCharType="separate"/>
      </w:r>
      <w:r>
        <w:rPr>
          <w:rFonts w:ascii="Times New Roman"/>
          <w:bCs/>
          <w:sz w:val="21"/>
          <w:szCs w:val="21"/>
        </w:rPr>
        <w:t>14</w:t>
      </w:r>
      <w:r>
        <w:rPr>
          <w:rFonts w:ascii="Times New Roman"/>
          <w:bCs/>
          <w:sz w:val="21"/>
          <w:szCs w:val="21"/>
        </w:rPr>
        <w:fldChar w:fldCharType="end"/>
      </w:r>
    </w:p>
    <w:p>
      <w:pPr>
        <w:pStyle w:val="17"/>
        <w:tabs>
          <w:tab w:val="right" w:leader="dot" w:pos="5910"/>
        </w:tabs>
        <w:rPr>
          <w:rFonts w:ascii="Times New Roman" w:eastAsiaTheme="minorEastAsia"/>
          <w:szCs w:val="22"/>
        </w:rPr>
      </w:pPr>
      <w:r>
        <w:rPr>
          <w:rFonts w:ascii="Times New Roman"/>
        </w:rPr>
        <w:t xml:space="preserve">6  </w:t>
      </w:r>
      <w:r>
        <w:rPr>
          <w:rFonts w:ascii="Times New Roman" w:eastAsia="宋体"/>
        </w:rPr>
        <w:t>安装与连接质量检测</w:t>
      </w:r>
      <w:r>
        <w:rPr>
          <w:rFonts w:ascii="Times New Roman"/>
        </w:rPr>
        <w:tab/>
      </w:r>
      <w:r>
        <w:rPr>
          <w:rFonts w:ascii="Times New Roman"/>
        </w:rPr>
        <w:fldChar w:fldCharType="begin"/>
      </w:r>
      <w:r>
        <w:rPr>
          <w:rFonts w:ascii="Times New Roman"/>
        </w:rPr>
        <w:instrText xml:space="preserve"> PAGEREF _Toc17273659 \h </w:instrText>
      </w:r>
      <w:r>
        <w:rPr>
          <w:rFonts w:ascii="Times New Roman"/>
        </w:rPr>
        <w:fldChar w:fldCharType="separate"/>
      </w:r>
      <w:r>
        <w:rPr>
          <w:rFonts w:ascii="Times New Roman"/>
        </w:rPr>
        <w:t>15</w:t>
      </w:r>
      <w:r>
        <w:rPr>
          <w:rFonts w:ascii="Times New Roman"/>
        </w:rPr>
        <w:fldChar w:fldCharType="end"/>
      </w:r>
    </w:p>
    <w:p>
      <w:pPr>
        <w:pStyle w:val="20"/>
        <w:tabs>
          <w:tab w:val="right" w:leader="dot" w:pos="5910"/>
        </w:tabs>
        <w:rPr>
          <w:rFonts w:ascii="Times New Roman" w:eastAsiaTheme="minorEastAsia"/>
          <w:bCs/>
          <w:sz w:val="21"/>
          <w:szCs w:val="22"/>
        </w:rPr>
      </w:pPr>
      <w:r>
        <w:rPr>
          <w:rFonts w:ascii="Times New Roman"/>
          <w:bCs/>
        </w:rPr>
        <w:t xml:space="preserve">6.1  </w:t>
      </w:r>
      <w:r>
        <w:rPr>
          <w:rFonts w:ascii="Times New Roman" w:eastAsia="宋体"/>
          <w:bCs/>
        </w:rPr>
        <w:t>一般规定</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_Toc17273660 \h </w:instrText>
      </w:r>
      <w:r>
        <w:rPr>
          <w:rFonts w:ascii="Times New Roman"/>
          <w:bCs/>
          <w:sz w:val="21"/>
          <w:szCs w:val="21"/>
        </w:rPr>
        <w:fldChar w:fldCharType="separate"/>
      </w:r>
      <w:r>
        <w:rPr>
          <w:rFonts w:ascii="Times New Roman"/>
          <w:bCs/>
          <w:sz w:val="21"/>
          <w:szCs w:val="21"/>
        </w:rPr>
        <w:t>15</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6.2  </w:t>
      </w:r>
      <w:r>
        <w:rPr>
          <w:rFonts w:ascii="Times New Roman" w:eastAsia="宋体"/>
          <w:bCs/>
        </w:rPr>
        <w:t>安装尺寸偏差</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_Toc17273661 \h </w:instrText>
      </w:r>
      <w:r>
        <w:rPr>
          <w:rFonts w:ascii="Times New Roman"/>
          <w:bCs/>
          <w:sz w:val="21"/>
          <w:szCs w:val="21"/>
        </w:rPr>
        <w:fldChar w:fldCharType="separate"/>
      </w:r>
      <w:r>
        <w:rPr>
          <w:rFonts w:ascii="Times New Roman"/>
          <w:bCs/>
          <w:sz w:val="21"/>
          <w:szCs w:val="21"/>
        </w:rPr>
        <w:t>15</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color w:val="000000" w:themeColor="text1"/>
          <w14:textFill>
            <w14:solidFill>
              <w14:schemeClr w14:val="tx1"/>
            </w14:solidFill>
          </w14:textFill>
        </w:rPr>
        <w:t xml:space="preserve">6.3  </w:t>
      </w:r>
      <w:r>
        <w:rPr>
          <w:rFonts w:ascii="Times New Roman" w:eastAsia="宋体"/>
          <w:bCs/>
          <w:color w:val="000000" w:themeColor="text1"/>
          <w14:textFill>
            <w14:solidFill>
              <w14:schemeClr w14:val="tx1"/>
            </w14:solidFill>
          </w14:textFill>
        </w:rPr>
        <w:t>钢筋连接质量</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_Toc17273662 \h </w:instrText>
      </w:r>
      <w:r>
        <w:rPr>
          <w:rFonts w:ascii="Times New Roman"/>
          <w:bCs/>
          <w:sz w:val="21"/>
          <w:szCs w:val="21"/>
        </w:rPr>
        <w:fldChar w:fldCharType="separate"/>
      </w:r>
      <w:r>
        <w:rPr>
          <w:rFonts w:ascii="Times New Roman"/>
          <w:bCs/>
          <w:sz w:val="21"/>
          <w:szCs w:val="21"/>
        </w:rPr>
        <w:t>16</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6.4  </w:t>
      </w:r>
      <w:r>
        <w:rPr>
          <w:rFonts w:ascii="Times New Roman" w:eastAsia="宋体"/>
          <w:bCs/>
        </w:rPr>
        <w:t>钢筋套筒灌浆连接与浆锚搭接连接质量</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_Toc17273663 \h </w:instrText>
      </w:r>
      <w:r>
        <w:rPr>
          <w:rFonts w:ascii="Times New Roman"/>
          <w:bCs/>
          <w:sz w:val="21"/>
          <w:szCs w:val="21"/>
        </w:rPr>
        <w:fldChar w:fldCharType="separate"/>
      </w:r>
      <w:r>
        <w:rPr>
          <w:rFonts w:ascii="Times New Roman"/>
          <w:bCs/>
          <w:sz w:val="21"/>
          <w:szCs w:val="21"/>
        </w:rPr>
        <w:t>16</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6.5  </w:t>
      </w:r>
      <w:r>
        <w:rPr>
          <w:rFonts w:ascii="Times New Roman" w:eastAsia="宋体"/>
          <w:bCs/>
        </w:rPr>
        <w:t>预制剪力墙底部接缝灌浆质量</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_Toc17273664 \h </w:instrText>
      </w:r>
      <w:r>
        <w:rPr>
          <w:rFonts w:ascii="Times New Roman"/>
          <w:bCs/>
          <w:sz w:val="21"/>
          <w:szCs w:val="21"/>
        </w:rPr>
        <w:fldChar w:fldCharType="separate"/>
      </w:r>
      <w:r>
        <w:rPr>
          <w:rFonts w:ascii="Times New Roman"/>
          <w:bCs/>
          <w:sz w:val="21"/>
          <w:szCs w:val="21"/>
        </w:rPr>
        <w:t>18</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6.6  </w:t>
      </w:r>
      <w:r>
        <w:rPr>
          <w:rFonts w:ascii="Times New Roman" w:eastAsia="宋体"/>
          <w:bCs/>
        </w:rPr>
        <w:t>叠合构件及双面叠合剪力墙空腔内现浇混凝土质量</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_Toc17273665 \h </w:instrText>
      </w:r>
      <w:r>
        <w:rPr>
          <w:rFonts w:ascii="Times New Roman"/>
          <w:bCs/>
          <w:sz w:val="21"/>
          <w:szCs w:val="21"/>
        </w:rPr>
        <w:fldChar w:fldCharType="separate"/>
      </w:r>
      <w:r>
        <w:rPr>
          <w:rFonts w:ascii="Times New Roman"/>
          <w:bCs/>
          <w:sz w:val="21"/>
          <w:szCs w:val="21"/>
        </w:rPr>
        <w:t>18</w:t>
      </w:r>
      <w:r>
        <w:rPr>
          <w:rFonts w:ascii="Times New Roman"/>
          <w:bCs/>
          <w:sz w:val="21"/>
          <w:szCs w:val="21"/>
        </w:rPr>
        <w:fldChar w:fldCharType="end"/>
      </w:r>
    </w:p>
    <w:p>
      <w:pPr>
        <w:pStyle w:val="17"/>
        <w:tabs>
          <w:tab w:val="right" w:leader="dot" w:pos="5910"/>
        </w:tabs>
        <w:rPr>
          <w:rFonts w:ascii="Times New Roman" w:eastAsiaTheme="minorEastAsia"/>
          <w:szCs w:val="22"/>
        </w:rPr>
      </w:pPr>
      <w:r>
        <w:rPr>
          <w:rFonts w:ascii="Times New Roman"/>
        </w:rPr>
        <w:t xml:space="preserve">7  </w:t>
      </w:r>
      <w:r>
        <w:rPr>
          <w:rFonts w:ascii="Times New Roman" w:eastAsia="宋体"/>
        </w:rPr>
        <w:t>结构实体与整体性检验</w:t>
      </w:r>
      <w:r>
        <w:rPr>
          <w:rFonts w:ascii="Times New Roman"/>
        </w:rPr>
        <w:tab/>
      </w:r>
      <w:r>
        <w:rPr>
          <w:rFonts w:ascii="Times New Roman"/>
        </w:rPr>
        <w:fldChar w:fldCharType="begin"/>
      </w:r>
      <w:r>
        <w:rPr>
          <w:rFonts w:ascii="Times New Roman"/>
        </w:rPr>
        <w:instrText xml:space="preserve"> PAGEREF _Toc17273666 \h </w:instrText>
      </w:r>
      <w:r>
        <w:rPr>
          <w:rFonts w:ascii="Times New Roman"/>
        </w:rPr>
        <w:fldChar w:fldCharType="separate"/>
      </w:r>
      <w:r>
        <w:rPr>
          <w:rFonts w:ascii="Times New Roman"/>
        </w:rPr>
        <w:t>19</w:t>
      </w:r>
      <w:r>
        <w:rPr>
          <w:rFonts w:ascii="Times New Roman"/>
        </w:rPr>
        <w:fldChar w:fldCharType="end"/>
      </w:r>
    </w:p>
    <w:p>
      <w:pPr>
        <w:pStyle w:val="20"/>
        <w:tabs>
          <w:tab w:val="right" w:leader="dot" w:pos="5910"/>
        </w:tabs>
        <w:rPr>
          <w:rFonts w:ascii="Times New Roman" w:eastAsiaTheme="minorEastAsia"/>
          <w:bCs/>
          <w:sz w:val="21"/>
          <w:szCs w:val="22"/>
        </w:rPr>
      </w:pPr>
      <w:r>
        <w:rPr>
          <w:rFonts w:ascii="Times New Roman"/>
          <w:bCs/>
        </w:rPr>
        <w:t xml:space="preserve">7.1  </w:t>
      </w:r>
      <w:r>
        <w:rPr>
          <w:rFonts w:ascii="Times New Roman" w:eastAsia="宋体"/>
          <w:bCs/>
        </w:rPr>
        <w:t>一般规定</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_Toc17273667 \h </w:instrText>
      </w:r>
      <w:r>
        <w:rPr>
          <w:rFonts w:ascii="Times New Roman"/>
          <w:bCs/>
          <w:sz w:val="21"/>
          <w:szCs w:val="21"/>
        </w:rPr>
        <w:fldChar w:fldCharType="separate"/>
      </w:r>
      <w:r>
        <w:rPr>
          <w:rFonts w:ascii="Times New Roman"/>
          <w:bCs/>
          <w:sz w:val="21"/>
          <w:szCs w:val="21"/>
        </w:rPr>
        <w:t>19</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7.2  </w:t>
      </w:r>
      <w:r>
        <w:rPr>
          <w:rFonts w:ascii="Times New Roman" w:eastAsia="宋体"/>
          <w:bCs/>
        </w:rPr>
        <w:t>装配式混凝土结构现浇部分实体检验</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_Toc17273668 \h </w:instrText>
      </w:r>
      <w:r>
        <w:rPr>
          <w:rFonts w:ascii="Times New Roman"/>
          <w:bCs/>
          <w:sz w:val="21"/>
          <w:szCs w:val="21"/>
        </w:rPr>
        <w:fldChar w:fldCharType="separate"/>
      </w:r>
      <w:r>
        <w:rPr>
          <w:rFonts w:ascii="Times New Roman"/>
          <w:bCs/>
          <w:sz w:val="21"/>
          <w:szCs w:val="21"/>
        </w:rPr>
        <w:t>19</w:t>
      </w:r>
      <w:r>
        <w:rPr>
          <w:rFonts w:ascii="Times New Roman"/>
          <w:bCs/>
          <w:sz w:val="21"/>
          <w:szCs w:val="21"/>
        </w:rPr>
        <w:fldChar w:fldCharType="end"/>
      </w:r>
    </w:p>
    <w:p>
      <w:pPr>
        <w:pStyle w:val="20"/>
        <w:tabs>
          <w:tab w:val="right" w:leader="dot" w:pos="5910"/>
        </w:tabs>
        <w:rPr>
          <w:rFonts w:ascii="Times New Roman" w:eastAsiaTheme="minorEastAsia"/>
          <w:bCs/>
          <w:sz w:val="21"/>
          <w:szCs w:val="22"/>
        </w:rPr>
      </w:pPr>
      <w:r>
        <w:rPr>
          <w:rFonts w:ascii="Times New Roman"/>
          <w:bCs/>
        </w:rPr>
        <w:t xml:space="preserve">7.3  </w:t>
      </w:r>
      <w:r>
        <w:rPr>
          <w:rFonts w:ascii="Times New Roman" w:eastAsia="宋体"/>
          <w:bCs/>
        </w:rPr>
        <w:t>结构整体性能检验</w:t>
      </w:r>
      <w:r>
        <w:rPr>
          <w:rFonts w:ascii="Times New Roman"/>
          <w:bCs/>
        </w:rPr>
        <w:tab/>
      </w:r>
      <w:r>
        <w:rPr>
          <w:rFonts w:ascii="Times New Roman"/>
          <w:bCs/>
          <w:sz w:val="21"/>
          <w:szCs w:val="21"/>
        </w:rPr>
        <w:fldChar w:fldCharType="begin"/>
      </w:r>
      <w:r>
        <w:rPr>
          <w:rFonts w:ascii="Times New Roman"/>
          <w:bCs/>
          <w:sz w:val="21"/>
          <w:szCs w:val="21"/>
        </w:rPr>
        <w:instrText xml:space="preserve"> PAGEREF _Toc17273669 \h </w:instrText>
      </w:r>
      <w:r>
        <w:rPr>
          <w:rFonts w:ascii="Times New Roman"/>
          <w:bCs/>
          <w:sz w:val="21"/>
          <w:szCs w:val="21"/>
        </w:rPr>
        <w:fldChar w:fldCharType="separate"/>
      </w:r>
      <w:r>
        <w:rPr>
          <w:rFonts w:ascii="Times New Roman"/>
          <w:bCs/>
          <w:sz w:val="21"/>
          <w:szCs w:val="21"/>
        </w:rPr>
        <w:t>20</w:t>
      </w:r>
      <w:r>
        <w:rPr>
          <w:rFonts w:ascii="Times New Roman"/>
          <w:bCs/>
          <w:sz w:val="21"/>
          <w:szCs w:val="21"/>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A </w:t>
      </w:r>
      <w:r>
        <w:rPr>
          <w:rFonts w:ascii="Times New Roman"/>
          <w:color w:val="FF0000"/>
        </w:rPr>
        <w:t xml:space="preserve"> </w:t>
      </w:r>
      <w:r>
        <w:rPr>
          <w:rFonts w:ascii="Times New Roman" w:eastAsia="宋体"/>
        </w:rPr>
        <w:t>混凝土缺陷相控阵超声成像法</w:t>
      </w:r>
      <w:r>
        <w:rPr>
          <w:rFonts w:ascii="Times New Roman"/>
        </w:rPr>
        <w:tab/>
      </w:r>
      <w:r>
        <w:rPr>
          <w:rFonts w:ascii="Times New Roman"/>
        </w:rPr>
        <w:fldChar w:fldCharType="begin"/>
      </w:r>
      <w:r>
        <w:rPr>
          <w:rFonts w:ascii="Times New Roman"/>
        </w:rPr>
        <w:instrText xml:space="preserve"> PAGEREF _Toc17273670 \h </w:instrText>
      </w:r>
      <w:r>
        <w:rPr>
          <w:rFonts w:ascii="Times New Roman"/>
        </w:rPr>
        <w:fldChar w:fldCharType="separate"/>
      </w:r>
      <w:r>
        <w:rPr>
          <w:rFonts w:ascii="Times New Roman"/>
        </w:rPr>
        <w:t>21</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B  </w:t>
      </w:r>
      <w:r>
        <w:rPr>
          <w:rFonts w:ascii="Times New Roman" w:eastAsia="宋体"/>
        </w:rPr>
        <w:t>预制构件粗糙面凹凸深度检测方法</w:t>
      </w:r>
      <w:r>
        <w:rPr>
          <w:rFonts w:ascii="Times New Roman"/>
        </w:rPr>
        <w:tab/>
      </w:r>
      <w:r>
        <w:rPr>
          <w:rFonts w:ascii="Times New Roman"/>
        </w:rPr>
        <w:fldChar w:fldCharType="begin"/>
      </w:r>
      <w:r>
        <w:rPr>
          <w:rFonts w:ascii="Times New Roman"/>
        </w:rPr>
        <w:instrText xml:space="preserve"> PAGEREF _Toc17273671 \h </w:instrText>
      </w:r>
      <w:r>
        <w:rPr>
          <w:rFonts w:ascii="Times New Roman"/>
        </w:rPr>
        <w:fldChar w:fldCharType="separate"/>
      </w:r>
      <w:r>
        <w:rPr>
          <w:rFonts w:ascii="Times New Roman"/>
        </w:rPr>
        <w:t>24</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C  </w:t>
      </w:r>
      <w:r>
        <w:rPr>
          <w:rFonts w:ascii="Times New Roman" w:eastAsia="宋体"/>
        </w:rPr>
        <w:t>用于量测灌浆套筒及连接钢筋中心线位置偏差的坐标定位法</w:t>
      </w:r>
      <w:r>
        <w:rPr>
          <w:rFonts w:ascii="Times New Roman"/>
        </w:rPr>
        <w:tab/>
      </w:r>
      <w:r>
        <w:rPr>
          <w:rFonts w:ascii="Times New Roman"/>
        </w:rPr>
        <w:fldChar w:fldCharType="begin"/>
      </w:r>
      <w:r>
        <w:rPr>
          <w:rFonts w:ascii="Times New Roman"/>
        </w:rPr>
        <w:instrText xml:space="preserve"> PAGEREF _Toc17273672 \h </w:instrText>
      </w:r>
      <w:r>
        <w:rPr>
          <w:rFonts w:ascii="Times New Roman"/>
        </w:rPr>
        <w:fldChar w:fldCharType="separate"/>
      </w:r>
      <w:r>
        <w:rPr>
          <w:rFonts w:ascii="Times New Roman"/>
        </w:rPr>
        <w:t>26</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D  </w:t>
      </w:r>
      <w:r>
        <w:rPr>
          <w:rFonts w:ascii="Times New Roman" w:eastAsia="宋体"/>
        </w:rPr>
        <w:t>用于检测套筒灌浆饱满度的预埋传感器法</w:t>
      </w:r>
      <w:r>
        <w:rPr>
          <w:rFonts w:ascii="Times New Roman"/>
        </w:rPr>
        <w:tab/>
      </w:r>
      <w:r>
        <w:rPr>
          <w:rFonts w:ascii="Times New Roman"/>
        </w:rPr>
        <w:fldChar w:fldCharType="begin"/>
      </w:r>
      <w:r>
        <w:rPr>
          <w:rFonts w:ascii="Times New Roman"/>
        </w:rPr>
        <w:instrText xml:space="preserve"> PAGEREF _Toc17273673 \h </w:instrText>
      </w:r>
      <w:r>
        <w:rPr>
          <w:rFonts w:ascii="Times New Roman"/>
        </w:rPr>
        <w:fldChar w:fldCharType="separate"/>
      </w:r>
      <w:r>
        <w:rPr>
          <w:rFonts w:ascii="Times New Roman"/>
        </w:rPr>
        <w:t>28</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E  </w:t>
      </w:r>
      <w:r>
        <w:rPr>
          <w:rFonts w:ascii="Times New Roman" w:eastAsia="宋体"/>
        </w:rPr>
        <w:t>隔墙冲击试验</w:t>
      </w:r>
      <w:r>
        <w:rPr>
          <w:rFonts w:ascii="Times New Roman"/>
        </w:rPr>
        <w:tab/>
      </w:r>
      <w:r>
        <w:rPr>
          <w:rFonts w:ascii="Times New Roman"/>
        </w:rPr>
        <w:fldChar w:fldCharType="begin"/>
      </w:r>
      <w:r>
        <w:rPr>
          <w:rFonts w:ascii="Times New Roman"/>
        </w:rPr>
        <w:instrText xml:space="preserve"> PAGEREF _Toc17273674 \h </w:instrText>
      </w:r>
      <w:r>
        <w:rPr>
          <w:rFonts w:ascii="Times New Roman"/>
        </w:rPr>
        <w:fldChar w:fldCharType="separate"/>
      </w:r>
      <w:r>
        <w:rPr>
          <w:rFonts w:ascii="Times New Roman"/>
        </w:rPr>
        <w:t>30</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F  </w:t>
      </w:r>
      <w:r>
        <w:rPr>
          <w:rFonts w:ascii="Times New Roman" w:eastAsia="宋体"/>
        </w:rPr>
        <w:t>淋水试验</w:t>
      </w:r>
      <w:r>
        <w:rPr>
          <w:rFonts w:ascii="Times New Roman"/>
        </w:rPr>
        <w:tab/>
      </w:r>
      <w:r>
        <w:rPr>
          <w:rFonts w:ascii="Times New Roman"/>
        </w:rPr>
        <w:fldChar w:fldCharType="begin"/>
      </w:r>
      <w:r>
        <w:rPr>
          <w:rFonts w:ascii="Times New Roman"/>
        </w:rPr>
        <w:instrText xml:space="preserve"> PAGEREF _Toc17273675 \h </w:instrText>
      </w:r>
      <w:r>
        <w:rPr>
          <w:rFonts w:ascii="Times New Roman"/>
        </w:rPr>
        <w:fldChar w:fldCharType="separate"/>
      </w:r>
      <w:r>
        <w:rPr>
          <w:rFonts w:ascii="Times New Roman"/>
        </w:rPr>
        <w:t>33</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附录</w:t>
      </w:r>
      <w:r>
        <w:rPr>
          <w:rFonts w:ascii="Times New Roman"/>
        </w:rPr>
        <w:t xml:space="preserve">G  </w:t>
      </w:r>
      <w:r>
        <w:rPr>
          <w:rFonts w:ascii="Times New Roman" w:eastAsia="宋体"/>
        </w:rPr>
        <w:t>平行构件法</w:t>
      </w:r>
      <w:r>
        <w:rPr>
          <w:rFonts w:ascii="Times New Roman"/>
        </w:rPr>
        <w:tab/>
      </w:r>
      <w:r>
        <w:rPr>
          <w:rFonts w:ascii="Times New Roman"/>
        </w:rPr>
        <w:fldChar w:fldCharType="begin"/>
      </w:r>
      <w:r>
        <w:rPr>
          <w:rFonts w:ascii="Times New Roman"/>
        </w:rPr>
        <w:instrText xml:space="preserve"> PAGEREF _Toc17273676 \h </w:instrText>
      </w:r>
      <w:r>
        <w:rPr>
          <w:rFonts w:ascii="Times New Roman"/>
        </w:rPr>
        <w:fldChar w:fldCharType="separate"/>
      </w:r>
      <w:r>
        <w:rPr>
          <w:rFonts w:ascii="Times New Roman"/>
        </w:rPr>
        <w:t>35</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本标准用词说明</w:t>
      </w:r>
      <w:r>
        <w:rPr>
          <w:rFonts w:ascii="Times New Roman"/>
        </w:rPr>
        <w:tab/>
      </w:r>
      <w:r>
        <w:rPr>
          <w:rFonts w:ascii="Times New Roman"/>
        </w:rPr>
        <w:fldChar w:fldCharType="begin"/>
      </w:r>
      <w:r>
        <w:rPr>
          <w:rFonts w:ascii="Times New Roman"/>
        </w:rPr>
        <w:instrText xml:space="preserve"> PAGEREF _Toc17273677 \h </w:instrText>
      </w:r>
      <w:r>
        <w:rPr>
          <w:rFonts w:ascii="Times New Roman"/>
        </w:rPr>
        <w:fldChar w:fldCharType="separate"/>
      </w:r>
      <w:r>
        <w:rPr>
          <w:rFonts w:ascii="Times New Roman"/>
        </w:rPr>
        <w:t>38</w:t>
      </w:r>
      <w:r>
        <w:rPr>
          <w:rFonts w:ascii="Times New Roman"/>
        </w:rPr>
        <w:fldChar w:fldCharType="end"/>
      </w:r>
    </w:p>
    <w:p>
      <w:pPr>
        <w:pStyle w:val="17"/>
        <w:tabs>
          <w:tab w:val="right" w:leader="dot" w:pos="5910"/>
        </w:tabs>
        <w:rPr>
          <w:rFonts w:ascii="Times New Roman" w:eastAsiaTheme="minorEastAsia"/>
          <w:szCs w:val="22"/>
        </w:rPr>
      </w:pPr>
      <w:r>
        <w:rPr>
          <w:rFonts w:ascii="Times New Roman" w:eastAsia="宋体"/>
        </w:rPr>
        <w:t>引用标准名录</w:t>
      </w:r>
      <w:r>
        <w:rPr>
          <w:rFonts w:ascii="Times New Roman"/>
        </w:rPr>
        <w:tab/>
      </w:r>
      <w:r>
        <w:rPr>
          <w:rFonts w:ascii="Times New Roman"/>
        </w:rPr>
        <w:fldChar w:fldCharType="begin"/>
      </w:r>
      <w:r>
        <w:rPr>
          <w:rFonts w:ascii="Times New Roman"/>
        </w:rPr>
        <w:instrText xml:space="preserve"> PAGEREF _Toc17273678 \h </w:instrText>
      </w:r>
      <w:r>
        <w:rPr>
          <w:rFonts w:ascii="Times New Roman"/>
        </w:rPr>
        <w:fldChar w:fldCharType="separate"/>
      </w:r>
      <w:r>
        <w:rPr>
          <w:rFonts w:ascii="Times New Roman"/>
        </w:rPr>
        <w:t>39</w:t>
      </w:r>
      <w:r>
        <w:rPr>
          <w:rFonts w:ascii="Times New Roman"/>
        </w:rPr>
        <w:fldChar w:fldCharType="end"/>
      </w:r>
    </w:p>
    <w:p>
      <w:pPr>
        <w:pStyle w:val="17"/>
        <w:tabs>
          <w:tab w:val="right" w:leader="dot" w:pos="5910"/>
        </w:tabs>
        <w:rPr>
          <w:rFonts w:ascii="Times New Roman" w:eastAsiaTheme="minorEastAsia"/>
          <w:szCs w:val="22"/>
        </w:rPr>
      </w:pPr>
      <w:r>
        <w:rPr>
          <w:rFonts w:hint="eastAsia" w:ascii="Times New Roman" w:eastAsia="宋体"/>
        </w:rPr>
        <w:t>附：</w:t>
      </w:r>
      <w:r>
        <w:rPr>
          <w:rFonts w:ascii="Times New Roman" w:eastAsia="宋体"/>
        </w:rPr>
        <w:t>条文说明</w:t>
      </w:r>
      <w:r>
        <w:rPr>
          <w:rFonts w:ascii="Times New Roman"/>
        </w:rPr>
        <w:tab/>
      </w:r>
      <w:r>
        <w:rPr>
          <w:rFonts w:ascii="Times New Roman"/>
        </w:rPr>
        <w:fldChar w:fldCharType="begin"/>
      </w:r>
      <w:r>
        <w:rPr>
          <w:rFonts w:ascii="Times New Roman"/>
        </w:rPr>
        <w:instrText xml:space="preserve"> PAGEREF _Toc17273679 \h </w:instrText>
      </w:r>
      <w:r>
        <w:rPr>
          <w:rFonts w:ascii="Times New Roman"/>
        </w:rPr>
        <w:fldChar w:fldCharType="separate"/>
      </w:r>
      <w:r>
        <w:rPr>
          <w:rFonts w:ascii="Times New Roman"/>
        </w:rPr>
        <w:t>41</w:t>
      </w:r>
      <w:r>
        <w:rPr>
          <w:rFonts w:ascii="Times New Roman"/>
        </w:rPr>
        <w:fldChar w:fldCharType="end"/>
      </w:r>
    </w:p>
    <w:p>
      <w:pPr>
        <w:pStyle w:val="17"/>
        <w:ind w:left="5076" w:hanging="5076"/>
        <w:rPr>
          <w:rFonts w:ascii="Times New Roman" w:eastAsia="宋体"/>
        </w:rPr>
      </w:pPr>
      <w:r>
        <w:rPr>
          <w:rFonts w:ascii="Times New Roman" w:eastAsia="宋体"/>
          <w:color w:val="FF0000"/>
          <w:szCs w:val="21"/>
        </w:rPr>
        <w:fldChar w:fldCharType="end"/>
      </w:r>
    </w:p>
    <w:p>
      <w:pPr>
        <w:rPr>
          <w:rFonts w:eastAsia="黑体"/>
        </w:rPr>
        <w:sectPr>
          <w:pgSz w:w="7938" w:h="11510"/>
          <w:pgMar w:top="1083" w:right="1009" w:bottom="1083" w:left="1009" w:header="851" w:footer="992" w:gutter="0"/>
          <w:cols w:space="425" w:num="1"/>
          <w:docGrid w:type="lines" w:linePitch="312" w:charSpace="0"/>
        </w:sectPr>
      </w:pPr>
    </w:p>
    <w:p>
      <w:pPr>
        <w:spacing w:before="964" w:after="567" w:line="240" w:lineRule="auto"/>
        <w:jc w:val="center"/>
        <w:rPr>
          <w:rFonts w:eastAsia="黑体"/>
          <w:sz w:val="28"/>
          <w:szCs w:val="28"/>
        </w:rPr>
      </w:pPr>
      <w:r>
        <w:rPr>
          <w:rFonts w:eastAsia="黑体"/>
          <w:sz w:val="28"/>
          <w:szCs w:val="28"/>
        </w:rPr>
        <w:t>Contents</w:t>
      </w:r>
    </w:p>
    <w:p>
      <w:pPr>
        <w:pStyle w:val="17"/>
        <w:tabs>
          <w:tab w:val="right" w:leader="dot" w:pos="5910"/>
        </w:tabs>
        <w:rPr>
          <w:rFonts w:ascii="Times New Roman" w:eastAsiaTheme="minorEastAsia"/>
          <w:bCs w:val="0"/>
          <w:szCs w:val="22"/>
        </w:rPr>
      </w:pPr>
      <w:r>
        <w:rPr>
          <w:rFonts w:ascii="Times New Roman" w:eastAsia="黑体"/>
          <w:szCs w:val="21"/>
        </w:rPr>
        <w:fldChar w:fldCharType="begin"/>
      </w:r>
      <w:r>
        <w:rPr>
          <w:rFonts w:ascii="Times New Roman" w:eastAsia="黑体"/>
          <w:szCs w:val="21"/>
        </w:rPr>
        <w:instrText xml:space="preserve"> TOC \f \u </w:instrText>
      </w:r>
      <w:r>
        <w:rPr>
          <w:rFonts w:ascii="Times New Roman" w:eastAsia="黑体"/>
          <w:szCs w:val="21"/>
        </w:rPr>
        <w:fldChar w:fldCharType="separate"/>
      </w:r>
      <w:r>
        <w:rPr>
          <w:rFonts w:ascii="Times New Roman"/>
        </w:rPr>
        <w:t>1  General Provisions</w:t>
      </w:r>
      <w:r>
        <w:rPr>
          <w:rFonts w:ascii="Times New Roman"/>
        </w:rPr>
        <w:tab/>
      </w:r>
      <w:r>
        <w:rPr>
          <w:rFonts w:ascii="Times New Roman"/>
        </w:rPr>
        <w:fldChar w:fldCharType="begin"/>
      </w:r>
      <w:r>
        <w:rPr>
          <w:rFonts w:ascii="Times New Roman"/>
        </w:rPr>
        <w:instrText xml:space="preserve"> PAGEREF _Toc17274683 \h </w:instrText>
      </w:r>
      <w:r>
        <w:rPr>
          <w:rFonts w:ascii="Times New Roman"/>
        </w:rPr>
        <w:fldChar w:fldCharType="separate"/>
      </w:r>
      <w:r>
        <w:rPr>
          <w:rFonts w:ascii="Times New Roman"/>
        </w:rPr>
        <w:t>1</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2  Terms</w:t>
      </w:r>
      <w:r>
        <w:rPr>
          <w:rFonts w:ascii="Times New Roman"/>
        </w:rPr>
        <w:tab/>
      </w:r>
      <w:r>
        <w:rPr>
          <w:rFonts w:ascii="Times New Roman"/>
        </w:rPr>
        <w:fldChar w:fldCharType="begin"/>
      </w:r>
      <w:r>
        <w:rPr>
          <w:rFonts w:ascii="Times New Roman"/>
        </w:rPr>
        <w:instrText xml:space="preserve"> PAGEREF _Toc17274684 \h </w:instrText>
      </w:r>
      <w:r>
        <w:rPr>
          <w:rFonts w:ascii="Times New Roman"/>
        </w:rPr>
        <w:fldChar w:fldCharType="separate"/>
      </w:r>
      <w:r>
        <w:rPr>
          <w:rFonts w:ascii="Times New Roman"/>
        </w:rPr>
        <w:t>2</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3  Basic Requirements</w:t>
      </w:r>
      <w:r>
        <w:rPr>
          <w:rFonts w:ascii="Times New Roman"/>
        </w:rPr>
        <w:tab/>
      </w:r>
      <w:r>
        <w:rPr>
          <w:rFonts w:ascii="Times New Roman"/>
        </w:rPr>
        <w:fldChar w:fldCharType="begin"/>
      </w:r>
      <w:r>
        <w:rPr>
          <w:rFonts w:ascii="Times New Roman"/>
        </w:rPr>
        <w:instrText xml:space="preserve"> PAGEREF _Toc17274685 \h </w:instrText>
      </w:r>
      <w:r>
        <w:rPr>
          <w:rFonts w:ascii="Times New Roman"/>
        </w:rPr>
        <w:fldChar w:fldCharType="separate"/>
      </w:r>
      <w:r>
        <w:rPr>
          <w:rFonts w:ascii="Times New Roman"/>
        </w:rPr>
        <w:t>4</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4  Material Inspection</w:t>
      </w:r>
      <w:r>
        <w:rPr>
          <w:rFonts w:ascii="Times New Roman"/>
        </w:rPr>
        <w:tab/>
      </w:r>
      <w:r>
        <w:rPr>
          <w:rFonts w:ascii="Times New Roman"/>
        </w:rPr>
        <w:fldChar w:fldCharType="begin"/>
      </w:r>
      <w:r>
        <w:rPr>
          <w:rFonts w:ascii="Times New Roman"/>
        </w:rPr>
        <w:instrText xml:space="preserve"> PAGEREF _Toc17274686 \h </w:instrText>
      </w:r>
      <w:r>
        <w:rPr>
          <w:rFonts w:ascii="Times New Roman"/>
        </w:rPr>
        <w:fldChar w:fldCharType="separate"/>
      </w:r>
      <w:r>
        <w:rPr>
          <w:rFonts w:ascii="Times New Roman"/>
        </w:rPr>
        <w:t>7</w:t>
      </w:r>
      <w:r>
        <w:rPr>
          <w:rFonts w:ascii="Times New Roman"/>
        </w:rPr>
        <w:fldChar w:fldCharType="end"/>
      </w:r>
    </w:p>
    <w:p>
      <w:pPr>
        <w:pStyle w:val="20"/>
        <w:tabs>
          <w:tab w:val="right" w:leader="dot" w:pos="5910"/>
        </w:tabs>
        <w:rPr>
          <w:rFonts w:ascii="Times New Roman" w:eastAsiaTheme="minorEastAsia"/>
          <w:sz w:val="21"/>
          <w:szCs w:val="22"/>
        </w:rPr>
      </w:pPr>
      <w:r>
        <w:rPr>
          <w:rFonts w:ascii="Times New Roman"/>
        </w:rPr>
        <w:t>4.1  General Requirements</w:t>
      </w:r>
      <w:r>
        <w:rPr>
          <w:rFonts w:ascii="Times New Roman"/>
        </w:rPr>
        <w:tab/>
      </w:r>
      <w:r>
        <w:rPr>
          <w:rFonts w:ascii="Times New Roman"/>
          <w:sz w:val="21"/>
          <w:szCs w:val="21"/>
        </w:rPr>
        <w:fldChar w:fldCharType="begin"/>
      </w:r>
      <w:r>
        <w:rPr>
          <w:rFonts w:ascii="Times New Roman"/>
          <w:sz w:val="21"/>
          <w:szCs w:val="21"/>
        </w:rPr>
        <w:instrText xml:space="preserve"> PAGEREF _Toc17274687 \h </w:instrText>
      </w:r>
      <w:r>
        <w:rPr>
          <w:rFonts w:ascii="Times New Roman"/>
          <w:sz w:val="21"/>
          <w:szCs w:val="21"/>
        </w:rPr>
        <w:fldChar w:fldCharType="separate"/>
      </w:r>
      <w:r>
        <w:rPr>
          <w:rFonts w:ascii="Times New Roman"/>
          <w:sz w:val="21"/>
          <w:szCs w:val="21"/>
        </w:rPr>
        <w:t>7</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4.2  Concrete</w:t>
      </w:r>
      <w:r>
        <w:rPr>
          <w:rFonts w:ascii="Times New Roman"/>
        </w:rPr>
        <w:tab/>
      </w:r>
      <w:r>
        <w:rPr>
          <w:rFonts w:ascii="Times New Roman"/>
          <w:sz w:val="21"/>
          <w:szCs w:val="21"/>
        </w:rPr>
        <w:fldChar w:fldCharType="begin"/>
      </w:r>
      <w:r>
        <w:rPr>
          <w:rFonts w:ascii="Times New Roman"/>
          <w:sz w:val="21"/>
          <w:szCs w:val="21"/>
        </w:rPr>
        <w:instrText xml:space="preserve"> PAGEREF _Toc17274688 \h </w:instrText>
      </w:r>
      <w:r>
        <w:rPr>
          <w:rFonts w:ascii="Times New Roman"/>
          <w:sz w:val="21"/>
          <w:szCs w:val="21"/>
        </w:rPr>
        <w:fldChar w:fldCharType="separate"/>
      </w:r>
      <w:r>
        <w:rPr>
          <w:rFonts w:ascii="Times New Roman"/>
          <w:sz w:val="21"/>
          <w:szCs w:val="21"/>
        </w:rPr>
        <w:t>7</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4.3  Reinforcement and Steel</w:t>
      </w:r>
      <w:r>
        <w:rPr>
          <w:rFonts w:ascii="Times New Roman"/>
        </w:rPr>
        <w:tab/>
      </w:r>
      <w:r>
        <w:rPr>
          <w:rFonts w:ascii="Times New Roman"/>
          <w:sz w:val="21"/>
          <w:szCs w:val="21"/>
        </w:rPr>
        <w:fldChar w:fldCharType="begin"/>
      </w:r>
      <w:r>
        <w:rPr>
          <w:rFonts w:ascii="Times New Roman"/>
          <w:sz w:val="21"/>
          <w:szCs w:val="21"/>
        </w:rPr>
        <w:instrText xml:space="preserve"> PAGEREF _Toc17274689 \h </w:instrText>
      </w:r>
      <w:r>
        <w:rPr>
          <w:rFonts w:ascii="Times New Roman"/>
          <w:sz w:val="21"/>
          <w:szCs w:val="21"/>
        </w:rPr>
        <w:fldChar w:fldCharType="separate"/>
      </w:r>
      <w:r>
        <w:rPr>
          <w:rFonts w:ascii="Times New Roman"/>
          <w:sz w:val="21"/>
          <w:szCs w:val="21"/>
        </w:rPr>
        <w:t>8</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4.4  Interconnect Materials</w:t>
      </w:r>
      <w:r>
        <w:rPr>
          <w:rFonts w:ascii="Times New Roman"/>
        </w:rPr>
        <w:tab/>
      </w:r>
      <w:r>
        <w:rPr>
          <w:rFonts w:ascii="Times New Roman"/>
          <w:sz w:val="21"/>
          <w:szCs w:val="21"/>
        </w:rPr>
        <w:fldChar w:fldCharType="begin"/>
      </w:r>
      <w:r>
        <w:rPr>
          <w:rFonts w:ascii="Times New Roman"/>
          <w:sz w:val="21"/>
          <w:szCs w:val="21"/>
        </w:rPr>
        <w:instrText xml:space="preserve"> PAGEREF _Toc17274690 \h </w:instrText>
      </w:r>
      <w:r>
        <w:rPr>
          <w:rFonts w:ascii="Times New Roman"/>
          <w:sz w:val="21"/>
          <w:szCs w:val="21"/>
        </w:rPr>
        <w:fldChar w:fldCharType="separate"/>
      </w:r>
      <w:r>
        <w:rPr>
          <w:rFonts w:ascii="Times New Roman"/>
          <w:sz w:val="21"/>
          <w:szCs w:val="21"/>
        </w:rPr>
        <w:t>8</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4.5  Other Materials</w:t>
      </w:r>
      <w:r>
        <w:rPr>
          <w:rFonts w:ascii="Times New Roman"/>
        </w:rPr>
        <w:tab/>
      </w:r>
      <w:r>
        <w:rPr>
          <w:rFonts w:ascii="Times New Roman"/>
          <w:sz w:val="21"/>
          <w:szCs w:val="21"/>
        </w:rPr>
        <w:fldChar w:fldCharType="begin"/>
      </w:r>
      <w:r>
        <w:rPr>
          <w:rFonts w:ascii="Times New Roman"/>
          <w:sz w:val="21"/>
          <w:szCs w:val="21"/>
        </w:rPr>
        <w:instrText xml:space="preserve"> PAGEREF _Toc17274691 \h </w:instrText>
      </w:r>
      <w:r>
        <w:rPr>
          <w:rFonts w:ascii="Times New Roman"/>
          <w:sz w:val="21"/>
          <w:szCs w:val="21"/>
        </w:rPr>
        <w:fldChar w:fldCharType="separate"/>
      </w:r>
      <w:r>
        <w:rPr>
          <w:rFonts w:ascii="Times New Roman"/>
          <w:sz w:val="21"/>
          <w:szCs w:val="21"/>
        </w:rPr>
        <w:t>9</w:t>
      </w:r>
      <w:r>
        <w:rPr>
          <w:rFonts w:ascii="Times New Roman"/>
          <w:sz w:val="21"/>
          <w:szCs w:val="21"/>
        </w:rPr>
        <w:fldChar w:fldCharType="end"/>
      </w:r>
    </w:p>
    <w:p>
      <w:pPr>
        <w:pStyle w:val="17"/>
        <w:tabs>
          <w:tab w:val="right" w:leader="dot" w:pos="5910"/>
        </w:tabs>
        <w:rPr>
          <w:rFonts w:ascii="Times New Roman" w:eastAsiaTheme="minorEastAsia"/>
          <w:bCs w:val="0"/>
          <w:szCs w:val="22"/>
        </w:rPr>
      </w:pPr>
      <w:r>
        <w:rPr>
          <w:rFonts w:ascii="Times New Roman"/>
        </w:rPr>
        <w:t>5  Approach Check of Precast Concrete Component</w:t>
      </w:r>
      <w:r>
        <w:rPr>
          <w:rFonts w:ascii="Times New Roman"/>
        </w:rPr>
        <w:tab/>
      </w:r>
      <w:r>
        <w:rPr>
          <w:rFonts w:ascii="Times New Roman"/>
        </w:rPr>
        <w:fldChar w:fldCharType="begin"/>
      </w:r>
      <w:r>
        <w:rPr>
          <w:rFonts w:ascii="Times New Roman"/>
        </w:rPr>
        <w:instrText xml:space="preserve"> PAGEREF _Toc17274692 \h </w:instrText>
      </w:r>
      <w:r>
        <w:rPr>
          <w:rFonts w:ascii="Times New Roman"/>
        </w:rPr>
        <w:fldChar w:fldCharType="separate"/>
      </w:r>
      <w:r>
        <w:rPr>
          <w:rFonts w:ascii="Times New Roman"/>
        </w:rPr>
        <w:t>11</w:t>
      </w:r>
      <w:r>
        <w:rPr>
          <w:rFonts w:ascii="Times New Roman"/>
        </w:rPr>
        <w:fldChar w:fldCharType="end"/>
      </w:r>
    </w:p>
    <w:p>
      <w:pPr>
        <w:pStyle w:val="20"/>
        <w:tabs>
          <w:tab w:val="right" w:leader="dot" w:pos="5910"/>
        </w:tabs>
        <w:rPr>
          <w:rFonts w:ascii="Times New Roman" w:eastAsiaTheme="minorEastAsia"/>
          <w:sz w:val="21"/>
          <w:szCs w:val="22"/>
        </w:rPr>
      </w:pPr>
      <w:r>
        <w:rPr>
          <w:rFonts w:ascii="Times New Roman"/>
        </w:rPr>
        <w:t>5.1  General Requirements</w:t>
      </w:r>
      <w:r>
        <w:rPr>
          <w:rFonts w:ascii="Times New Roman"/>
        </w:rPr>
        <w:tab/>
      </w:r>
      <w:r>
        <w:rPr>
          <w:rFonts w:ascii="Times New Roman"/>
          <w:sz w:val="21"/>
          <w:szCs w:val="21"/>
        </w:rPr>
        <w:fldChar w:fldCharType="begin"/>
      </w:r>
      <w:r>
        <w:rPr>
          <w:rFonts w:ascii="Times New Roman"/>
          <w:sz w:val="21"/>
          <w:szCs w:val="21"/>
        </w:rPr>
        <w:instrText xml:space="preserve"> PAGEREF _Toc17274693 \h </w:instrText>
      </w:r>
      <w:r>
        <w:rPr>
          <w:rFonts w:ascii="Times New Roman"/>
          <w:sz w:val="21"/>
          <w:szCs w:val="21"/>
        </w:rPr>
        <w:fldChar w:fldCharType="separate"/>
      </w:r>
      <w:r>
        <w:rPr>
          <w:rFonts w:ascii="Times New Roman"/>
          <w:sz w:val="21"/>
          <w:szCs w:val="21"/>
        </w:rPr>
        <w:t>11</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5.2  Concrete Strength</w:t>
      </w:r>
      <w:r>
        <w:rPr>
          <w:rFonts w:ascii="Times New Roman"/>
        </w:rPr>
        <w:tab/>
      </w:r>
      <w:r>
        <w:rPr>
          <w:rFonts w:ascii="Times New Roman"/>
          <w:sz w:val="21"/>
          <w:szCs w:val="21"/>
        </w:rPr>
        <w:fldChar w:fldCharType="begin"/>
      </w:r>
      <w:r>
        <w:rPr>
          <w:rFonts w:ascii="Times New Roman"/>
          <w:sz w:val="21"/>
          <w:szCs w:val="21"/>
        </w:rPr>
        <w:instrText xml:space="preserve"> PAGEREF _Toc17274694 \h </w:instrText>
      </w:r>
      <w:r>
        <w:rPr>
          <w:rFonts w:ascii="Times New Roman"/>
          <w:sz w:val="21"/>
          <w:szCs w:val="21"/>
        </w:rPr>
        <w:fldChar w:fldCharType="separate"/>
      </w:r>
      <w:r>
        <w:rPr>
          <w:rFonts w:ascii="Times New Roman"/>
          <w:sz w:val="21"/>
          <w:szCs w:val="21"/>
        </w:rPr>
        <w:t>11</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5.3  Concrete Defects</w:t>
      </w:r>
      <w:r>
        <w:rPr>
          <w:rFonts w:ascii="Times New Roman"/>
        </w:rPr>
        <w:tab/>
      </w:r>
      <w:r>
        <w:rPr>
          <w:rFonts w:ascii="Times New Roman"/>
          <w:sz w:val="21"/>
          <w:szCs w:val="21"/>
        </w:rPr>
        <w:fldChar w:fldCharType="begin"/>
      </w:r>
      <w:r>
        <w:rPr>
          <w:rFonts w:ascii="Times New Roman"/>
          <w:sz w:val="21"/>
          <w:szCs w:val="21"/>
        </w:rPr>
        <w:instrText xml:space="preserve"> PAGEREF _Toc17274695 \h </w:instrText>
      </w:r>
      <w:r>
        <w:rPr>
          <w:rFonts w:ascii="Times New Roman"/>
          <w:sz w:val="21"/>
          <w:szCs w:val="21"/>
        </w:rPr>
        <w:fldChar w:fldCharType="separate"/>
      </w:r>
      <w:r>
        <w:rPr>
          <w:rFonts w:ascii="Times New Roman"/>
          <w:sz w:val="21"/>
          <w:szCs w:val="21"/>
        </w:rPr>
        <w:t>12</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5.4  Size Deviation</w:t>
      </w:r>
      <w:r>
        <w:rPr>
          <w:rFonts w:ascii="Times New Roman"/>
        </w:rPr>
        <w:tab/>
      </w:r>
      <w:r>
        <w:rPr>
          <w:rFonts w:ascii="Times New Roman"/>
          <w:sz w:val="21"/>
          <w:szCs w:val="21"/>
        </w:rPr>
        <w:fldChar w:fldCharType="begin"/>
      </w:r>
      <w:r>
        <w:rPr>
          <w:rFonts w:ascii="Times New Roman"/>
          <w:sz w:val="21"/>
          <w:szCs w:val="21"/>
        </w:rPr>
        <w:instrText xml:space="preserve"> PAGEREF _Toc17274696 \h </w:instrText>
      </w:r>
      <w:r>
        <w:rPr>
          <w:rFonts w:ascii="Times New Roman"/>
          <w:sz w:val="21"/>
          <w:szCs w:val="21"/>
        </w:rPr>
        <w:fldChar w:fldCharType="separate"/>
      </w:r>
      <w:r>
        <w:rPr>
          <w:rFonts w:ascii="Times New Roman"/>
          <w:sz w:val="21"/>
          <w:szCs w:val="21"/>
        </w:rPr>
        <w:t>12</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5.5  Arrangement of Reinforcement</w:t>
      </w:r>
      <w:r>
        <w:rPr>
          <w:rFonts w:ascii="Times New Roman"/>
        </w:rPr>
        <w:tab/>
      </w:r>
      <w:r>
        <w:rPr>
          <w:rFonts w:ascii="Times New Roman"/>
          <w:sz w:val="21"/>
          <w:szCs w:val="21"/>
        </w:rPr>
        <w:fldChar w:fldCharType="begin"/>
      </w:r>
      <w:r>
        <w:rPr>
          <w:rFonts w:ascii="Times New Roman"/>
          <w:sz w:val="21"/>
          <w:szCs w:val="21"/>
        </w:rPr>
        <w:instrText xml:space="preserve"> PAGEREF _Toc17274697 \h </w:instrText>
      </w:r>
      <w:r>
        <w:rPr>
          <w:rFonts w:ascii="Times New Roman"/>
          <w:sz w:val="21"/>
          <w:szCs w:val="21"/>
        </w:rPr>
        <w:fldChar w:fldCharType="separate"/>
      </w:r>
      <w:r>
        <w:rPr>
          <w:rFonts w:ascii="Times New Roman"/>
          <w:sz w:val="21"/>
          <w:szCs w:val="21"/>
        </w:rPr>
        <w:t>14</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5.6  Inspection of Component Performance</w:t>
      </w:r>
      <w:r>
        <w:rPr>
          <w:rFonts w:ascii="Times New Roman"/>
        </w:rPr>
        <w:tab/>
      </w:r>
      <w:r>
        <w:rPr>
          <w:rFonts w:ascii="Times New Roman"/>
          <w:sz w:val="21"/>
          <w:szCs w:val="21"/>
        </w:rPr>
        <w:fldChar w:fldCharType="begin"/>
      </w:r>
      <w:r>
        <w:rPr>
          <w:rFonts w:ascii="Times New Roman"/>
          <w:sz w:val="21"/>
          <w:szCs w:val="21"/>
        </w:rPr>
        <w:instrText xml:space="preserve"> PAGEREF _Toc17274698 \h </w:instrText>
      </w:r>
      <w:r>
        <w:rPr>
          <w:rFonts w:ascii="Times New Roman"/>
          <w:sz w:val="21"/>
          <w:szCs w:val="21"/>
        </w:rPr>
        <w:fldChar w:fldCharType="separate"/>
      </w:r>
      <w:r>
        <w:rPr>
          <w:rFonts w:ascii="Times New Roman"/>
          <w:sz w:val="21"/>
          <w:szCs w:val="21"/>
        </w:rPr>
        <w:t>14</w:t>
      </w:r>
      <w:r>
        <w:rPr>
          <w:rFonts w:ascii="Times New Roman"/>
          <w:sz w:val="21"/>
          <w:szCs w:val="21"/>
        </w:rPr>
        <w:fldChar w:fldCharType="end"/>
      </w:r>
    </w:p>
    <w:p>
      <w:pPr>
        <w:pStyle w:val="17"/>
        <w:tabs>
          <w:tab w:val="right" w:leader="dot" w:pos="5910"/>
        </w:tabs>
        <w:rPr>
          <w:rFonts w:ascii="Times New Roman" w:eastAsiaTheme="minorEastAsia"/>
          <w:bCs w:val="0"/>
          <w:szCs w:val="22"/>
        </w:rPr>
      </w:pPr>
      <w:r>
        <w:rPr>
          <w:rFonts w:ascii="Times New Roman"/>
        </w:rPr>
        <w:t>6  Erection and Connnection Inspection</w:t>
      </w:r>
      <w:r>
        <w:rPr>
          <w:rFonts w:ascii="Times New Roman"/>
        </w:rPr>
        <w:tab/>
      </w:r>
      <w:r>
        <w:rPr>
          <w:rFonts w:ascii="Times New Roman"/>
        </w:rPr>
        <w:fldChar w:fldCharType="begin"/>
      </w:r>
      <w:r>
        <w:rPr>
          <w:rFonts w:ascii="Times New Roman"/>
        </w:rPr>
        <w:instrText xml:space="preserve"> PAGEREF _Toc17274699 \h </w:instrText>
      </w:r>
      <w:r>
        <w:rPr>
          <w:rFonts w:ascii="Times New Roman"/>
        </w:rPr>
        <w:fldChar w:fldCharType="separate"/>
      </w:r>
      <w:r>
        <w:rPr>
          <w:rFonts w:ascii="Times New Roman"/>
        </w:rPr>
        <w:t>15</w:t>
      </w:r>
      <w:r>
        <w:rPr>
          <w:rFonts w:ascii="Times New Roman"/>
        </w:rPr>
        <w:fldChar w:fldCharType="end"/>
      </w:r>
    </w:p>
    <w:p>
      <w:pPr>
        <w:pStyle w:val="20"/>
        <w:tabs>
          <w:tab w:val="right" w:leader="dot" w:pos="5910"/>
        </w:tabs>
        <w:rPr>
          <w:rFonts w:ascii="Times New Roman" w:eastAsiaTheme="minorEastAsia"/>
          <w:sz w:val="21"/>
          <w:szCs w:val="22"/>
        </w:rPr>
      </w:pPr>
      <w:r>
        <w:rPr>
          <w:rFonts w:ascii="Times New Roman"/>
        </w:rPr>
        <w:t>6.1  General Requirements</w:t>
      </w:r>
      <w:r>
        <w:rPr>
          <w:rFonts w:ascii="Times New Roman"/>
        </w:rPr>
        <w:tab/>
      </w:r>
      <w:r>
        <w:rPr>
          <w:rFonts w:ascii="Times New Roman"/>
          <w:sz w:val="21"/>
          <w:szCs w:val="21"/>
        </w:rPr>
        <w:fldChar w:fldCharType="begin"/>
      </w:r>
      <w:r>
        <w:rPr>
          <w:rFonts w:ascii="Times New Roman"/>
          <w:sz w:val="21"/>
          <w:szCs w:val="21"/>
        </w:rPr>
        <w:instrText xml:space="preserve"> PAGEREF _Toc17274700 \h </w:instrText>
      </w:r>
      <w:r>
        <w:rPr>
          <w:rFonts w:ascii="Times New Roman"/>
          <w:sz w:val="21"/>
          <w:szCs w:val="21"/>
        </w:rPr>
        <w:fldChar w:fldCharType="separate"/>
      </w:r>
      <w:r>
        <w:rPr>
          <w:rFonts w:ascii="Times New Roman"/>
          <w:sz w:val="21"/>
          <w:szCs w:val="21"/>
        </w:rPr>
        <w:t>15</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6.2  Tolerances of Erection</w:t>
      </w:r>
      <w:r>
        <w:rPr>
          <w:rFonts w:ascii="Times New Roman"/>
        </w:rPr>
        <w:tab/>
      </w:r>
      <w:r>
        <w:rPr>
          <w:rFonts w:ascii="Times New Roman"/>
          <w:sz w:val="21"/>
          <w:szCs w:val="21"/>
        </w:rPr>
        <w:fldChar w:fldCharType="begin"/>
      </w:r>
      <w:r>
        <w:rPr>
          <w:rFonts w:ascii="Times New Roman"/>
          <w:sz w:val="21"/>
          <w:szCs w:val="21"/>
        </w:rPr>
        <w:instrText xml:space="preserve"> PAGEREF _Toc17274701 \h </w:instrText>
      </w:r>
      <w:r>
        <w:rPr>
          <w:rFonts w:ascii="Times New Roman"/>
          <w:sz w:val="21"/>
          <w:szCs w:val="21"/>
        </w:rPr>
        <w:fldChar w:fldCharType="separate"/>
      </w:r>
      <w:r>
        <w:rPr>
          <w:rFonts w:ascii="Times New Roman"/>
          <w:sz w:val="21"/>
          <w:szCs w:val="21"/>
        </w:rPr>
        <w:t>15</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color w:val="000000" w:themeColor="text1"/>
          <w14:textFill>
            <w14:solidFill>
              <w14:schemeClr w14:val="tx1"/>
            </w14:solidFill>
          </w14:textFill>
        </w:rPr>
        <w:t>6.3  Quality for Reinforcement Connection</w:t>
      </w:r>
      <w:r>
        <w:rPr>
          <w:rFonts w:ascii="Times New Roman"/>
        </w:rPr>
        <w:tab/>
      </w:r>
      <w:r>
        <w:rPr>
          <w:rFonts w:ascii="Times New Roman"/>
          <w:sz w:val="21"/>
          <w:szCs w:val="21"/>
        </w:rPr>
        <w:fldChar w:fldCharType="begin"/>
      </w:r>
      <w:r>
        <w:rPr>
          <w:rFonts w:ascii="Times New Roman"/>
          <w:sz w:val="21"/>
          <w:szCs w:val="21"/>
        </w:rPr>
        <w:instrText xml:space="preserve"> PAGEREF _Toc17274702 \h </w:instrText>
      </w:r>
      <w:r>
        <w:rPr>
          <w:rFonts w:ascii="Times New Roman"/>
          <w:sz w:val="21"/>
          <w:szCs w:val="21"/>
        </w:rPr>
        <w:fldChar w:fldCharType="separate"/>
      </w:r>
      <w:r>
        <w:rPr>
          <w:rFonts w:ascii="Times New Roman"/>
          <w:sz w:val="21"/>
          <w:szCs w:val="21"/>
        </w:rPr>
        <w:t>16</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6.4  Quality of Grout Sleeve Splicing of Rebars and Grouting Anchor Lapped Splices</w:t>
      </w:r>
      <w:r>
        <w:rPr>
          <w:rFonts w:ascii="Times New Roman"/>
        </w:rPr>
        <w:tab/>
      </w:r>
      <w:r>
        <w:rPr>
          <w:rFonts w:ascii="Times New Roman"/>
          <w:sz w:val="21"/>
          <w:szCs w:val="21"/>
        </w:rPr>
        <w:fldChar w:fldCharType="begin"/>
      </w:r>
      <w:r>
        <w:rPr>
          <w:rFonts w:ascii="Times New Roman"/>
          <w:sz w:val="21"/>
          <w:szCs w:val="21"/>
        </w:rPr>
        <w:instrText xml:space="preserve"> PAGEREF _Toc17274703 \h </w:instrText>
      </w:r>
      <w:r>
        <w:rPr>
          <w:rFonts w:ascii="Times New Roman"/>
          <w:sz w:val="21"/>
          <w:szCs w:val="21"/>
        </w:rPr>
        <w:fldChar w:fldCharType="separate"/>
      </w:r>
      <w:r>
        <w:rPr>
          <w:rFonts w:ascii="Times New Roman"/>
          <w:sz w:val="21"/>
          <w:szCs w:val="21"/>
        </w:rPr>
        <w:t>16</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6.5  Grout Quality for Bottom Seam of Pre-Cast Shear Wall</w:t>
      </w:r>
      <w:r>
        <w:rPr>
          <w:rFonts w:ascii="Times New Roman"/>
        </w:rPr>
        <w:tab/>
      </w:r>
      <w:r>
        <w:rPr>
          <w:rFonts w:ascii="Times New Roman"/>
          <w:sz w:val="21"/>
          <w:szCs w:val="21"/>
        </w:rPr>
        <w:fldChar w:fldCharType="begin"/>
      </w:r>
      <w:r>
        <w:rPr>
          <w:rFonts w:ascii="Times New Roman"/>
          <w:sz w:val="21"/>
          <w:szCs w:val="21"/>
        </w:rPr>
        <w:instrText xml:space="preserve"> PAGEREF _Toc17274704 \h </w:instrText>
      </w:r>
      <w:r>
        <w:rPr>
          <w:rFonts w:ascii="Times New Roman"/>
          <w:sz w:val="21"/>
          <w:szCs w:val="21"/>
        </w:rPr>
        <w:fldChar w:fldCharType="separate"/>
      </w:r>
      <w:r>
        <w:rPr>
          <w:rFonts w:ascii="Times New Roman"/>
          <w:sz w:val="21"/>
          <w:szCs w:val="21"/>
        </w:rPr>
        <w:t>18</w:t>
      </w:r>
      <w:r>
        <w:rPr>
          <w:rFonts w:ascii="Times New Roman"/>
          <w:sz w:val="21"/>
          <w:szCs w:val="21"/>
        </w:rPr>
        <w:fldChar w:fldCharType="end"/>
      </w:r>
    </w:p>
    <w:p>
      <w:pPr>
        <w:pStyle w:val="17"/>
        <w:tabs>
          <w:tab w:val="right" w:leader="dot" w:pos="5910"/>
        </w:tabs>
        <w:rPr>
          <w:rFonts w:ascii="Times New Roman" w:eastAsiaTheme="minorEastAsia"/>
          <w:bCs w:val="0"/>
          <w:szCs w:val="22"/>
        </w:rPr>
      </w:pPr>
      <w:r>
        <w:rPr>
          <w:rFonts w:ascii="Times New Roman"/>
        </w:rPr>
        <w:t>7  Entitative Inspection of Concrete Structure</w:t>
      </w:r>
      <w:r>
        <w:rPr>
          <w:rFonts w:ascii="Times New Roman"/>
        </w:rPr>
        <w:tab/>
      </w:r>
      <w:r>
        <w:rPr>
          <w:rFonts w:ascii="Times New Roman"/>
        </w:rPr>
        <w:fldChar w:fldCharType="begin"/>
      </w:r>
      <w:r>
        <w:rPr>
          <w:rFonts w:ascii="Times New Roman"/>
        </w:rPr>
        <w:instrText xml:space="preserve"> PAGEREF _Toc17274705 \h </w:instrText>
      </w:r>
      <w:r>
        <w:rPr>
          <w:rFonts w:ascii="Times New Roman"/>
        </w:rPr>
        <w:fldChar w:fldCharType="separate"/>
      </w:r>
      <w:r>
        <w:rPr>
          <w:rFonts w:ascii="Times New Roman"/>
        </w:rPr>
        <w:t>19</w:t>
      </w:r>
      <w:r>
        <w:rPr>
          <w:rFonts w:ascii="Times New Roman"/>
        </w:rPr>
        <w:fldChar w:fldCharType="end"/>
      </w:r>
    </w:p>
    <w:p>
      <w:pPr>
        <w:pStyle w:val="20"/>
        <w:tabs>
          <w:tab w:val="right" w:leader="dot" w:pos="5910"/>
        </w:tabs>
        <w:rPr>
          <w:rFonts w:ascii="Times New Roman" w:eastAsiaTheme="minorEastAsia"/>
          <w:sz w:val="21"/>
          <w:szCs w:val="22"/>
        </w:rPr>
      </w:pPr>
      <w:r>
        <w:rPr>
          <w:rFonts w:ascii="Times New Roman"/>
        </w:rPr>
        <w:t>7.1  General Requirements</w:t>
      </w:r>
      <w:r>
        <w:rPr>
          <w:rFonts w:ascii="Times New Roman"/>
        </w:rPr>
        <w:tab/>
      </w:r>
      <w:r>
        <w:rPr>
          <w:rFonts w:ascii="Times New Roman"/>
          <w:sz w:val="21"/>
          <w:szCs w:val="21"/>
        </w:rPr>
        <w:fldChar w:fldCharType="begin"/>
      </w:r>
      <w:r>
        <w:rPr>
          <w:rFonts w:ascii="Times New Roman"/>
          <w:sz w:val="21"/>
          <w:szCs w:val="21"/>
        </w:rPr>
        <w:instrText xml:space="preserve"> PAGEREF _Toc17274706 \h </w:instrText>
      </w:r>
      <w:r>
        <w:rPr>
          <w:rFonts w:ascii="Times New Roman"/>
          <w:sz w:val="21"/>
          <w:szCs w:val="21"/>
        </w:rPr>
        <w:fldChar w:fldCharType="separate"/>
      </w:r>
      <w:r>
        <w:rPr>
          <w:rFonts w:ascii="Times New Roman"/>
          <w:sz w:val="21"/>
          <w:szCs w:val="21"/>
        </w:rPr>
        <w:t>19</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7.2  Entitative Inspection of Cast-in-Situ Part in Precast Concrete</w:t>
      </w:r>
      <w:r>
        <w:rPr>
          <w:rFonts w:ascii="Times New Roman"/>
        </w:rPr>
        <w:tab/>
      </w:r>
      <w:r>
        <w:rPr>
          <w:rFonts w:ascii="Times New Roman"/>
          <w:sz w:val="21"/>
          <w:szCs w:val="21"/>
        </w:rPr>
        <w:fldChar w:fldCharType="begin"/>
      </w:r>
      <w:r>
        <w:rPr>
          <w:rFonts w:ascii="Times New Roman"/>
          <w:sz w:val="21"/>
          <w:szCs w:val="21"/>
        </w:rPr>
        <w:instrText xml:space="preserve"> PAGEREF _Toc17274707 \h </w:instrText>
      </w:r>
      <w:r>
        <w:rPr>
          <w:rFonts w:ascii="Times New Roman"/>
          <w:sz w:val="21"/>
          <w:szCs w:val="21"/>
        </w:rPr>
        <w:fldChar w:fldCharType="separate"/>
      </w:r>
      <w:r>
        <w:rPr>
          <w:rFonts w:ascii="Times New Roman"/>
          <w:sz w:val="21"/>
          <w:szCs w:val="21"/>
        </w:rPr>
        <w:t>19</w:t>
      </w:r>
      <w:r>
        <w:rPr>
          <w:rFonts w:ascii="Times New Roman"/>
          <w:sz w:val="21"/>
          <w:szCs w:val="21"/>
        </w:rPr>
        <w:fldChar w:fldCharType="end"/>
      </w:r>
    </w:p>
    <w:p>
      <w:pPr>
        <w:pStyle w:val="20"/>
        <w:tabs>
          <w:tab w:val="right" w:leader="dot" w:pos="5910"/>
        </w:tabs>
        <w:rPr>
          <w:rFonts w:ascii="Times New Roman" w:eastAsiaTheme="minorEastAsia"/>
          <w:sz w:val="21"/>
          <w:szCs w:val="22"/>
        </w:rPr>
      </w:pPr>
      <w:r>
        <w:rPr>
          <w:rFonts w:ascii="Times New Roman"/>
        </w:rPr>
        <w:t>7.3  Performance Inspection of Whole Structure</w:t>
      </w:r>
      <w:r>
        <w:rPr>
          <w:rFonts w:ascii="Times New Roman"/>
        </w:rPr>
        <w:tab/>
      </w:r>
      <w:r>
        <w:rPr>
          <w:rFonts w:ascii="Times New Roman"/>
          <w:sz w:val="21"/>
          <w:szCs w:val="21"/>
        </w:rPr>
        <w:fldChar w:fldCharType="begin"/>
      </w:r>
      <w:r>
        <w:rPr>
          <w:rFonts w:ascii="Times New Roman"/>
          <w:sz w:val="21"/>
          <w:szCs w:val="21"/>
        </w:rPr>
        <w:instrText xml:space="preserve"> PAGEREF _Toc17274708 \h </w:instrText>
      </w:r>
      <w:r>
        <w:rPr>
          <w:rFonts w:ascii="Times New Roman"/>
          <w:sz w:val="21"/>
          <w:szCs w:val="21"/>
        </w:rPr>
        <w:fldChar w:fldCharType="separate"/>
      </w:r>
      <w:r>
        <w:rPr>
          <w:rFonts w:ascii="Times New Roman"/>
          <w:sz w:val="21"/>
          <w:szCs w:val="21"/>
        </w:rPr>
        <w:t>20</w:t>
      </w:r>
      <w:r>
        <w:rPr>
          <w:rFonts w:ascii="Times New Roman"/>
          <w:sz w:val="21"/>
          <w:szCs w:val="21"/>
        </w:rPr>
        <w:fldChar w:fldCharType="end"/>
      </w:r>
    </w:p>
    <w:p>
      <w:pPr>
        <w:pStyle w:val="17"/>
        <w:tabs>
          <w:tab w:val="right" w:leader="dot" w:pos="5910"/>
        </w:tabs>
        <w:rPr>
          <w:rFonts w:ascii="Times New Roman" w:eastAsiaTheme="minorEastAsia"/>
          <w:bCs w:val="0"/>
          <w:szCs w:val="22"/>
        </w:rPr>
      </w:pPr>
      <w:r>
        <w:rPr>
          <w:rFonts w:ascii="Times New Roman"/>
        </w:rPr>
        <w:t>Appendix A  Inspection of Concrete Defect by Phased Array Ultrasonic Imaging Method</w:t>
      </w:r>
      <w:r>
        <w:rPr>
          <w:rFonts w:ascii="Times New Roman"/>
        </w:rPr>
        <w:tab/>
      </w:r>
      <w:r>
        <w:rPr>
          <w:rFonts w:ascii="Times New Roman"/>
        </w:rPr>
        <w:fldChar w:fldCharType="begin"/>
      </w:r>
      <w:r>
        <w:rPr>
          <w:rFonts w:ascii="Times New Roman"/>
        </w:rPr>
        <w:instrText xml:space="preserve"> PAGEREF _Toc17274709 \h </w:instrText>
      </w:r>
      <w:r>
        <w:rPr>
          <w:rFonts w:ascii="Times New Roman"/>
        </w:rPr>
        <w:fldChar w:fldCharType="separate"/>
      </w:r>
      <w:r>
        <w:rPr>
          <w:rFonts w:ascii="Times New Roman"/>
        </w:rPr>
        <w:t>21</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Appendix B  Inspection method of Bump Depth for rough surface of precast component</w:t>
      </w:r>
      <w:r>
        <w:rPr>
          <w:rFonts w:ascii="Times New Roman"/>
        </w:rPr>
        <w:tab/>
      </w:r>
      <w:r>
        <w:rPr>
          <w:rFonts w:ascii="Times New Roman"/>
        </w:rPr>
        <w:fldChar w:fldCharType="begin"/>
      </w:r>
      <w:r>
        <w:rPr>
          <w:rFonts w:ascii="Times New Roman"/>
        </w:rPr>
        <w:instrText xml:space="preserve"> PAGEREF _Toc17274710 \h </w:instrText>
      </w:r>
      <w:r>
        <w:rPr>
          <w:rFonts w:ascii="Times New Roman"/>
        </w:rPr>
        <w:fldChar w:fldCharType="separate"/>
      </w:r>
      <w:r>
        <w:rPr>
          <w:rFonts w:ascii="Times New Roman"/>
        </w:rPr>
        <w:t>24</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Appendix C  axis position bars by coordinate of grout sleeves and dowel orientation method for measuring center line location tolerances</w:t>
      </w:r>
      <w:r>
        <w:rPr>
          <w:rFonts w:ascii="Times New Roman"/>
        </w:rPr>
        <w:tab/>
      </w:r>
      <w:r>
        <w:rPr>
          <w:rFonts w:ascii="Times New Roman"/>
        </w:rPr>
        <w:fldChar w:fldCharType="begin"/>
      </w:r>
      <w:r>
        <w:rPr>
          <w:rFonts w:ascii="Times New Roman"/>
        </w:rPr>
        <w:instrText xml:space="preserve"> PAGEREF _Toc17274711 \h </w:instrText>
      </w:r>
      <w:r>
        <w:rPr>
          <w:rFonts w:ascii="Times New Roman"/>
        </w:rPr>
        <w:fldChar w:fldCharType="separate"/>
      </w:r>
      <w:r>
        <w:rPr>
          <w:rFonts w:ascii="Times New Roman"/>
        </w:rPr>
        <w:t>26</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Appendix D  Preburied Sensor Method for Measuring the Full Degree of Sleeve Grouting</w:t>
      </w:r>
      <w:r>
        <w:rPr>
          <w:rFonts w:ascii="Times New Roman"/>
        </w:rPr>
        <w:tab/>
      </w:r>
      <w:r>
        <w:rPr>
          <w:rFonts w:ascii="Times New Roman"/>
        </w:rPr>
        <w:fldChar w:fldCharType="begin"/>
      </w:r>
      <w:r>
        <w:rPr>
          <w:rFonts w:ascii="Times New Roman"/>
        </w:rPr>
        <w:instrText xml:space="preserve"> PAGEREF _Toc17274712 \h </w:instrText>
      </w:r>
      <w:r>
        <w:rPr>
          <w:rFonts w:ascii="Times New Roman"/>
        </w:rPr>
        <w:fldChar w:fldCharType="separate"/>
      </w:r>
      <w:r>
        <w:rPr>
          <w:rFonts w:ascii="Times New Roman"/>
        </w:rPr>
        <w:t>28</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Appendix E  Impact Test of Partition Wall</w:t>
      </w:r>
      <w:r>
        <w:rPr>
          <w:rFonts w:ascii="Times New Roman"/>
        </w:rPr>
        <w:tab/>
      </w:r>
      <w:r>
        <w:rPr>
          <w:rFonts w:ascii="Times New Roman"/>
        </w:rPr>
        <w:fldChar w:fldCharType="begin"/>
      </w:r>
      <w:r>
        <w:rPr>
          <w:rFonts w:ascii="Times New Roman"/>
        </w:rPr>
        <w:instrText xml:space="preserve"> PAGEREF _Toc17274713 \h </w:instrText>
      </w:r>
      <w:r>
        <w:rPr>
          <w:rFonts w:ascii="Times New Roman"/>
        </w:rPr>
        <w:fldChar w:fldCharType="separate"/>
      </w:r>
      <w:r>
        <w:rPr>
          <w:rFonts w:ascii="Times New Roman"/>
        </w:rPr>
        <w:t>30</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Appendix F  Water Pouring Test</w:t>
      </w:r>
      <w:r>
        <w:rPr>
          <w:rFonts w:ascii="Times New Roman"/>
        </w:rPr>
        <w:tab/>
      </w:r>
      <w:r>
        <w:rPr>
          <w:rFonts w:ascii="Times New Roman"/>
        </w:rPr>
        <w:fldChar w:fldCharType="begin"/>
      </w:r>
      <w:r>
        <w:rPr>
          <w:rFonts w:ascii="Times New Roman"/>
        </w:rPr>
        <w:instrText xml:space="preserve"> PAGEREF _Toc17274714 \h </w:instrText>
      </w:r>
      <w:r>
        <w:rPr>
          <w:rFonts w:ascii="Times New Roman"/>
        </w:rPr>
        <w:fldChar w:fldCharType="separate"/>
      </w:r>
      <w:r>
        <w:rPr>
          <w:rFonts w:ascii="Times New Roman"/>
        </w:rPr>
        <w:t>33</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Appendix G  Parallel Member Method</w:t>
      </w:r>
      <w:r>
        <w:rPr>
          <w:rFonts w:ascii="Times New Roman"/>
        </w:rPr>
        <w:tab/>
      </w:r>
      <w:r>
        <w:rPr>
          <w:rFonts w:ascii="Times New Roman"/>
        </w:rPr>
        <w:fldChar w:fldCharType="begin"/>
      </w:r>
      <w:r>
        <w:rPr>
          <w:rFonts w:ascii="Times New Roman"/>
        </w:rPr>
        <w:instrText xml:space="preserve"> PAGEREF _Toc17274715 \h </w:instrText>
      </w:r>
      <w:r>
        <w:rPr>
          <w:rFonts w:ascii="Times New Roman"/>
        </w:rPr>
        <w:fldChar w:fldCharType="separate"/>
      </w:r>
      <w:r>
        <w:rPr>
          <w:rFonts w:ascii="Times New Roman"/>
        </w:rPr>
        <w:t>35</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Explanation of Wording in This Standard</w:t>
      </w:r>
      <w:r>
        <w:rPr>
          <w:rFonts w:ascii="Times New Roman"/>
        </w:rPr>
        <w:tab/>
      </w:r>
      <w:r>
        <w:rPr>
          <w:rFonts w:ascii="Times New Roman"/>
        </w:rPr>
        <w:fldChar w:fldCharType="begin"/>
      </w:r>
      <w:r>
        <w:rPr>
          <w:rFonts w:ascii="Times New Roman"/>
        </w:rPr>
        <w:instrText xml:space="preserve"> PAGEREF _Toc17274716 \h </w:instrText>
      </w:r>
      <w:r>
        <w:rPr>
          <w:rFonts w:ascii="Times New Roman"/>
        </w:rPr>
        <w:fldChar w:fldCharType="separate"/>
      </w:r>
      <w:r>
        <w:rPr>
          <w:rFonts w:ascii="Times New Roman"/>
        </w:rPr>
        <w:t>38</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List of Quoted Standards</w:t>
      </w:r>
      <w:r>
        <w:rPr>
          <w:rFonts w:ascii="Times New Roman"/>
        </w:rPr>
        <w:tab/>
      </w:r>
      <w:r>
        <w:rPr>
          <w:rFonts w:ascii="Times New Roman"/>
        </w:rPr>
        <w:fldChar w:fldCharType="begin"/>
      </w:r>
      <w:r>
        <w:rPr>
          <w:rFonts w:ascii="Times New Roman"/>
        </w:rPr>
        <w:instrText xml:space="preserve"> PAGEREF _Toc17274717 \h </w:instrText>
      </w:r>
      <w:r>
        <w:rPr>
          <w:rFonts w:ascii="Times New Roman"/>
        </w:rPr>
        <w:fldChar w:fldCharType="separate"/>
      </w:r>
      <w:r>
        <w:rPr>
          <w:rFonts w:ascii="Times New Roman"/>
        </w:rPr>
        <w:t>39</w:t>
      </w:r>
      <w:r>
        <w:rPr>
          <w:rFonts w:ascii="Times New Roman"/>
        </w:rPr>
        <w:fldChar w:fldCharType="end"/>
      </w:r>
    </w:p>
    <w:p>
      <w:pPr>
        <w:pStyle w:val="17"/>
        <w:tabs>
          <w:tab w:val="right" w:leader="dot" w:pos="5910"/>
        </w:tabs>
        <w:rPr>
          <w:rFonts w:ascii="Times New Roman" w:eastAsiaTheme="minorEastAsia"/>
          <w:bCs w:val="0"/>
          <w:szCs w:val="22"/>
        </w:rPr>
      </w:pPr>
      <w:r>
        <w:rPr>
          <w:rFonts w:ascii="Times New Roman"/>
        </w:rPr>
        <w:t>Addition</w:t>
      </w:r>
      <w:r>
        <w:rPr>
          <w:rFonts w:ascii="Times New Roman" w:eastAsia="宋体"/>
        </w:rPr>
        <w:t>：</w:t>
      </w:r>
      <w:r>
        <w:rPr>
          <w:rFonts w:ascii="Times New Roman"/>
        </w:rPr>
        <w:t>Explanation of Provisions</w:t>
      </w:r>
      <w:r>
        <w:rPr>
          <w:rFonts w:ascii="Times New Roman"/>
        </w:rPr>
        <w:tab/>
      </w:r>
      <w:r>
        <w:rPr>
          <w:rFonts w:ascii="Times New Roman"/>
        </w:rPr>
        <w:fldChar w:fldCharType="begin"/>
      </w:r>
      <w:r>
        <w:rPr>
          <w:rFonts w:ascii="Times New Roman"/>
        </w:rPr>
        <w:instrText xml:space="preserve"> PAGEREF _Toc17274718 \h </w:instrText>
      </w:r>
      <w:r>
        <w:rPr>
          <w:rFonts w:ascii="Times New Roman"/>
        </w:rPr>
        <w:fldChar w:fldCharType="separate"/>
      </w:r>
      <w:r>
        <w:rPr>
          <w:rFonts w:ascii="Times New Roman"/>
        </w:rPr>
        <w:t>41</w:t>
      </w:r>
      <w:r>
        <w:rPr>
          <w:rFonts w:ascii="Times New Roman"/>
        </w:rPr>
        <w:fldChar w:fldCharType="end"/>
      </w:r>
    </w:p>
    <w:p>
      <w:pPr>
        <w:spacing w:line="20" w:lineRule="exact"/>
        <w:rPr>
          <w:rFonts w:eastAsia="黑体"/>
          <w:szCs w:val="21"/>
        </w:rPr>
      </w:pPr>
      <w:r>
        <w:rPr>
          <w:rFonts w:eastAsia="黑体"/>
          <w:szCs w:val="21"/>
        </w:rPr>
        <w:fldChar w:fldCharType="end"/>
      </w:r>
    </w:p>
    <w:p>
      <w:pPr>
        <w:rPr>
          <w:rFonts w:eastAsia="黑体"/>
        </w:rPr>
        <w:sectPr>
          <w:pgSz w:w="7938" w:h="11510"/>
          <w:pgMar w:top="1083" w:right="1009" w:bottom="1083" w:left="1009" w:header="851" w:footer="992" w:gutter="0"/>
          <w:cols w:space="425" w:num="1"/>
          <w:docGrid w:type="lines" w:linePitch="312" w:charSpace="0"/>
        </w:sectPr>
      </w:pPr>
    </w:p>
    <w:p>
      <w:pPr>
        <w:pStyle w:val="2"/>
      </w:pPr>
      <w:bookmarkStart w:id="4" w:name="_Toc8736820"/>
      <w:bookmarkStart w:id="5" w:name="_Toc515287968"/>
      <w:bookmarkStart w:id="6" w:name="_Toc523216643"/>
      <w:bookmarkStart w:id="7" w:name="_Toc522627929"/>
      <w:bookmarkStart w:id="8" w:name="_Toc523216183"/>
      <w:bookmarkStart w:id="9" w:name="_Toc522031088"/>
      <w:bookmarkStart w:id="10" w:name="_Toc515373872"/>
      <w:bookmarkStart w:id="11" w:name="_Toc6325039"/>
      <w:bookmarkStart w:id="12" w:name="_Toc6318058"/>
      <w:bookmarkStart w:id="13" w:name="_Toc12959514"/>
      <w:bookmarkStart w:id="14" w:name="_Toc17273643"/>
      <w:bookmarkStart w:id="15" w:name="_Toc12886292"/>
      <w:bookmarkStart w:id="16" w:name="_Toc521503657"/>
      <w:r>
        <w:rPr>
          <w:rFonts w:hint="eastAsia"/>
          <w:b/>
          <w:bCs w:val="0"/>
        </w:rPr>
        <w:t>1</w:t>
      </w:r>
      <w:r>
        <w:t xml:space="preserve">  总</w:t>
      </w:r>
      <w:r>
        <w:rPr>
          <w:rFonts w:hint="eastAsia"/>
        </w:rPr>
        <w:t xml:space="preserve">  </w:t>
      </w:r>
      <w:r>
        <w:t>则</w:t>
      </w:r>
      <w:bookmarkEnd w:id="4"/>
      <w:bookmarkEnd w:id="5"/>
      <w:bookmarkEnd w:id="6"/>
      <w:bookmarkEnd w:id="7"/>
      <w:bookmarkEnd w:id="8"/>
      <w:bookmarkEnd w:id="9"/>
      <w:bookmarkEnd w:id="10"/>
      <w:bookmarkEnd w:id="11"/>
      <w:bookmarkEnd w:id="12"/>
      <w:bookmarkEnd w:id="13"/>
      <w:bookmarkEnd w:id="14"/>
      <w:bookmarkEnd w:id="15"/>
      <w:bookmarkEnd w:id="16"/>
      <w:r>
        <w:fldChar w:fldCharType="begin"/>
      </w:r>
      <w:r>
        <w:instrText xml:space="preserve"> TC  "</w:instrText>
      </w:r>
      <w:bookmarkStart w:id="17" w:name="_Toc515374459"/>
      <w:bookmarkStart w:id="18" w:name="_Toc515373612"/>
      <w:bookmarkStart w:id="19" w:name="_Toc17274683"/>
      <w:r>
        <w:instrText xml:space="preserve">1  General Provisions</w:instrText>
      </w:r>
      <w:bookmarkEnd w:id="17"/>
      <w:bookmarkEnd w:id="18"/>
      <w:bookmarkEnd w:id="19"/>
      <w:r>
        <w:instrText xml:space="preserve">" \l 1 </w:instrText>
      </w:r>
      <w:r>
        <w:fldChar w:fldCharType="end"/>
      </w:r>
    </w:p>
    <w:p>
      <w:r>
        <w:rPr>
          <w:rFonts w:hint="eastAsia"/>
          <w:b/>
        </w:rPr>
        <w:t xml:space="preserve">1.0.1  </w:t>
      </w:r>
      <w:r>
        <w:rPr>
          <w:rFonts w:hint="eastAsia"/>
        </w:rPr>
        <w:t>为规范广东省装配式混凝土结构检测工作程序和检测要求，合理选择装配式混凝土结构检测方法，保证工程质量，制定本标准。</w:t>
      </w:r>
    </w:p>
    <w:p>
      <w:r>
        <w:rPr>
          <w:rFonts w:hint="eastAsia"/>
          <w:b/>
        </w:rPr>
        <w:t xml:space="preserve">1.0.2  </w:t>
      </w:r>
      <w:r>
        <w:rPr>
          <w:rFonts w:hint="eastAsia"/>
        </w:rPr>
        <w:t>本标准适用于广东省装配式混凝土结构工程质量检测。</w:t>
      </w:r>
    </w:p>
    <w:p>
      <w:r>
        <w:rPr>
          <w:rFonts w:hint="eastAsia"/>
          <w:b/>
        </w:rPr>
        <w:t xml:space="preserve">1.0.3  </w:t>
      </w:r>
      <w:r>
        <w:rPr>
          <w:rFonts w:hint="eastAsia"/>
        </w:rPr>
        <w:t>装配式混凝土结构工程质量检测除应符合本标准外，尚应符合</w:t>
      </w:r>
      <w:bookmarkStart w:id="20" w:name="_Hlk528575906"/>
      <w:r>
        <w:rPr>
          <w:rFonts w:hint="eastAsia"/>
        </w:rPr>
        <w:t>现行国家、行业及广东省相关标准的规定</w:t>
      </w:r>
      <w:bookmarkEnd w:id="20"/>
      <w:r>
        <w:rPr>
          <w:rFonts w:hint="eastAsia"/>
        </w:rPr>
        <w:t>。</w:t>
      </w:r>
    </w:p>
    <w:p>
      <w:pPr>
        <w:sectPr>
          <w:footerReference r:id="rId7" w:type="default"/>
          <w:pgSz w:w="7938" w:h="11510"/>
          <w:pgMar w:top="1083" w:right="1009" w:bottom="1083" w:left="1009" w:header="851" w:footer="992" w:gutter="0"/>
          <w:pgNumType w:start="1"/>
          <w:cols w:space="425" w:num="1"/>
          <w:docGrid w:type="lines" w:linePitch="312" w:charSpace="0"/>
        </w:sectPr>
      </w:pPr>
    </w:p>
    <w:p>
      <w:pPr>
        <w:pStyle w:val="2"/>
      </w:pPr>
      <w:bookmarkStart w:id="21" w:name="_Toc6318059"/>
      <w:bookmarkStart w:id="22" w:name="_Toc523216644"/>
      <w:bookmarkStart w:id="23" w:name="_Toc523216184"/>
      <w:bookmarkStart w:id="24" w:name="_Toc522627930"/>
      <w:bookmarkStart w:id="25" w:name="_Toc522031089"/>
      <w:bookmarkStart w:id="26" w:name="_Toc515287969"/>
      <w:bookmarkStart w:id="27" w:name="_Toc8736821"/>
      <w:bookmarkStart w:id="28" w:name="_Toc6325040"/>
      <w:bookmarkStart w:id="29" w:name="_Toc12959515"/>
      <w:bookmarkStart w:id="30" w:name="_Toc12886293"/>
      <w:bookmarkStart w:id="31" w:name="_Toc521503658"/>
      <w:bookmarkStart w:id="32" w:name="_Toc515373873"/>
      <w:bookmarkStart w:id="33" w:name="_Toc17273644"/>
      <w:r>
        <w:rPr>
          <w:rFonts w:hint="eastAsia"/>
          <w:b/>
        </w:rPr>
        <w:t>2</w:t>
      </w:r>
      <w:r>
        <w:rPr>
          <w:rFonts w:hint="eastAsia"/>
        </w:rPr>
        <w:t xml:space="preserve"> </w:t>
      </w:r>
      <w:r>
        <w:t xml:space="preserve"> </w:t>
      </w:r>
      <w:r>
        <w:rPr>
          <w:rFonts w:hint="eastAsia"/>
        </w:rPr>
        <w:t xml:space="preserve">术 </w:t>
      </w:r>
      <w:r>
        <w:t xml:space="preserve"> </w:t>
      </w:r>
      <w:r>
        <w:rPr>
          <w:rFonts w:hint="eastAsia"/>
        </w:rPr>
        <w:t>语</w:t>
      </w:r>
      <w:bookmarkEnd w:id="21"/>
      <w:bookmarkEnd w:id="22"/>
      <w:bookmarkEnd w:id="23"/>
      <w:bookmarkEnd w:id="24"/>
      <w:bookmarkEnd w:id="25"/>
      <w:bookmarkEnd w:id="26"/>
      <w:bookmarkEnd w:id="27"/>
      <w:bookmarkEnd w:id="28"/>
      <w:bookmarkEnd w:id="29"/>
      <w:bookmarkEnd w:id="30"/>
      <w:bookmarkEnd w:id="31"/>
      <w:bookmarkEnd w:id="32"/>
      <w:bookmarkEnd w:id="33"/>
      <w:r>
        <w:fldChar w:fldCharType="begin"/>
      </w:r>
      <w:r>
        <w:instrText xml:space="preserve"> </w:instrText>
      </w:r>
      <w:r>
        <w:rPr>
          <w:rFonts w:hint="eastAsia"/>
        </w:rPr>
        <w:instrText xml:space="preserve">TC  "</w:instrText>
      </w:r>
      <w:bookmarkStart w:id="34" w:name="_Toc17274684"/>
      <w:r>
        <w:rPr>
          <w:rFonts w:hint="eastAsia"/>
        </w:rPr>
        <w:instrText xml:space="preserve">2  Terms</w:instrText>
      </w:r>
      <w:bookmarkEnd w:id="34"/>
      <w:r>
        <w:rPr>
          <w:rFonts w:hint="eastAsia"/>
        </w:rPr>
        <w:instrText xml:space="preserve">" \l 1</w:instrText>
      </w:r>
      <w:r>
        <w:instrText xml:space="preserve"> </w:instrText>
      </w:r>
      <w:r>
        <w:fldChar w:fldCharType="end"/>
      </w:r>
    </w:p>
    <w:p>
      <w:r>
        <w:rPr>
          <w:rFonts w:hint="eastAsia"/>
          <w:b/>
        </w:rPr>
        <w:t>2.</w:t>
      </w:r>
      <w:r>
        <w:rPr>
          <w:b/>
        </w:rPr>
        <w:t>0</w:t>
      </w:r>
      <w:r>
        <w:rPr>
          <w:rFonts w:hint="eastAsia"/>
          <w:b/>
        </w:rPr>
        <w:t>.</w:t>
      </w:r>
      <w:r>
        <w:rPr>
          <w:b/>
        </w:rPr>
        <w:t xml:space="preserve">1  </w:t>
      </w:r>
      <w:r>
        <w:rPr>
          <w:rFonts w:hint="eastAsia"/>
        </w:rPr>
        <w:t xml:space="preserve">装配式混凝土结构 </w:t>
      </w:r>
      <w:r>
        <w:t xml:space="preserve"> </w:t>
      </w:r>
      <w:r>
        <w:rPr>
          <w:rFonts w:hint="eastAsia"/>
        </w:rPr>
        <w:t>precast concrete structure</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预制混凝土构件通过可靠的连接方式装配而成的混凝土结构。</w:t>
      </w:r>
    </w:p>
    <w:p>
      <w:r>
        <w:rPr>
          <w:rFonts w:hint="eastAsia"/>
          <w:b/>
        </w:rPr>
        <w:t>2</w:t>
      </w:r>
      <w:r>
        <w:rPr>
          <w:b/>
        </w:rPr>
        <w:t>.0.2</w:t>
      </w:r>
      <w:r>
        <w:t xml:space="preserve">  </w:t>
      </w:r>
      <w:r>
        <w:rPr>
          <w:rFonts w:hint="eastAsia"/>
        </w:rPr>
        <w:t xml:space="preserve">工程质量检测 </w:t>
      </w:r>
      <w:r>
        <w:t xml:space="preserve"> </w:t>
      </w:r>
      <w:r>
        <w:rPr>
          <w:rFonts w:hint="eastAsia"/>
        </w:rPr>
        <w:t>inspection of structural quality</w:t>
      </w:r>
    </w:p>
    <w:p>
      <w:pPr>
        <w:ind w:firstLine="420" w:firstLineChars="200"/>
      </w:pPr>
      <w:r>
        <w:rPr>
          <w:rFonts w:hint="eastAsia"/>
        </w:rPr>
        <w:t>为评定混凝土结构工程质量与设计要求或与施工质量验收规范规定的符合性所实施的检测。</w:t>
      </w:r>
    </w:p>
    <w:p>
      <w:r>
        <w:rPr>
          <w:rFonts w:hint="eastAsia"/>
          <w:b/>
        </w:rPr>
        <w:t>2.</w:t>
      </w:r>
      <w:r>
        <w:rPr>
          <w:b/>
        </w:rPr>
        <w:t>0</w:t>
      </w:r>
      <w:r>
        <w:rPr>
          <w:rFonts w:hint="eastAsia"/>
          <w:b/>
        </w:rPr>
        <w:t>.</w:t>
      </w:r>
      <w:r>
        <w:rPr>
          <w:b/>
        </w:rPr>
        <w:t>3</w:t>
      </w:r>
      <w:r>
        <w:rPr>
          <w:rFonts w:hint="eastAsia"/>
        </w:rPr>
        <w:t xml:space="preserve">  预制混凝土构件  precast concrete component</w:t>
      </w:r>
    </w:p>
    <w:p>
      <w:pPr>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在工厂或现场预先生产制作的混凝土构件，简称预制构件。</w:t>
      </w:r>
    </w:p>
    <w:p>
      <w:r>
        <w:rPr>
          <w:rFonts w:hint="eastAsia"/>
          <w:b/>
        </w:rPr>
        <w:t>2</w:t>
      </w:r>
      <w:r>
        <w:rPr>
          <w:b/>
        </w:rPr>
        <w:t>.0</w:t>
      </w:r>
      <w:r>
        <w:rPr>
          <w:rFonts w:hint="eastAsia"/>
          <w:b/>
        </w:rPr>
        <w:t>.</w:t>
      </w:r>
      <w:r>
        <w:rPr>
          <w:b/>
        </w:rPr>
        <w:t>4</w:t>
      </w:r>
      <w:r>
        <w:rPr>
          <w:rFonts w:hint="eastAsia"/>
        </w:rPr>
        <w:t xml:space="preserve"> </w:t>
      </w:r>
      <w:r>
        <w:t xml:space="preserve"> </w:t>
      </w:r>
      <w:r>
        <w:rPr>
          <w:rFonts w:hint="eastAsia"/>
        </w:rPr>
        <w:t xml:space="preserve">非破损检测方法 </w:t>
      </w:r>
      <w:r>
        <w:t xml:space="preserve"> </w:t>
      </w:r>
      <w:r>
        <w:rPr>
          <w:rFonts w:hint="eastAsia"/>
        </w:rPr>
        <w:t>method of non-destructive test</w:t>
      </w:r>
    </w:p>
    <w:p>
      <w:pPr>
        <w:ind w:firstLine="315" w:firstLineChars="150"/>
      </w:pPr>
      <w:r>
        <w:rPr>
          <w:rFonts w:hint="eastAsia"/>
        </w:rPr>
        <w:t>在检测过程中，对结构的既有性能没有影响的检测方法。</w:t>
      </w:r>
    </w:p>
    <w:p>
      <w:r>
        <w:rPr>
          <w:rFonts w:hint="eastAsia"/>
          <w:b/>
        </w:rPr>
        <w:t>2</w:t>
      </w:r>
      <w:r>
        <w:rPr>
          <w:b/>
        </w:rPr>
        <w:t>.0.5</w:t>
      </w:r>
      <w:r>
        <w:rPr>
          <w:rFonts w:hint="eastAsia"/>
        </w:rPr>
        <w:t xml:space="preserve"> </w:t>
      </w:r>
      <w:r>
        <w:t xml:space="preserve"> </w:t>
      </w:r>
      <w:r>
        <w:rPr>
          <w:rFonts w:hint="eastAsia"/>
        </w:rPr>
        <w:t xml:space="preserve">局部破损检测方法 </w:t>
      </w:r>
      <w:r>
        <w:t xml:space="preserve"> </w:t>
      </w:r>
      <w:r>
        <w:rPr>
          <w:rFonts w:hint="eastAsia"/>
        </w:rPr>
        <w:t>method of part-destructive test</w:t>
      </w:r>
    </w:p>
    <w:p>
      <w:pPr>
        <w:ind w:firstLine="315" w:firstLineChars="150"/>
      </w:pPr>
      <w:r>
        <w:rPr>
          <w:rFonts w:hint="eastAsia"/>
        </w:rPr>
        <w:t>在检测过程中，对结构既有性能有局部和暂时的影响，但可修复的检测方法。</w:t>
      </w:r>
    </w:p>
    <w:p>
      <w:r>
        <w:rPr>
          <w:b/>
        </w:rPr>
        <w:t>2.0.6</w:t>
      </w:r>
      <w:r>
        <w:rPr>
          <w:rFonts w:hint="eastAsia"/>
        </w:rPr>
        <w:t xml:space="preserve"> </w:t>
      </w:r>
      <w:r>
        <w:t xml:space="preserve"> </w:t>
      </w:r>
      <w:r>
        <w:rPr>
          <w:rFonts w:hint="eastAsia"/>
        </w:rPr>
        <w:t xml:space="preserve">回弹法 </w:t>
      </w:r>
      <w:r>
        <w:t xml:space="preserve"> </w:t>
      </w:r>
      <w:r>
        <w:rPr>
          <w:rFonts w:hint="eastAsia"/>
        </w:rPr>
        <w:t>rebound method</w:t>
      </w:r>
    </w:p>
    <w:p>
      <w:pPr>
        <w:ind w:firstLine="315" w:firstLineChars="150"/>
      </w:pPr>
      <w:r>
        <w:rPr>
          <w:rFonts w:hint="eastAsia"/>
        </w:rPr>
        <w:t>通过测定回弹值及有关参数检测材料抗压强度和强度匀质性的方法。</w:t>
      </w:r>
    </w:p>
    <w:p>
      <w:r>
        <w:rPr>
          <w:b/>
        </w:rPr>
        <w:t>2.0.7</w:t>
      </w:r>
      <w:r>
        <w:rPr>
          <w:rFonts w:hint="eastAsia"/>
        </w:rPr>
        <w:t xml:space="preserve"> </w:t>
      </w:r>
      <w:r>
        <w:t xml:space="preserve"> </w:t>
      </w:r>
      <w:r>
        <w:rPr>
          <w:rFonts w:hint="eastAsia"/>
        </w:rPr>
        <w:t xml:space="preserve">超声回弹综合法 </w:t>
      </w:r>
      <w:r>
        <w:t xml:space="preserve"> </w:t>
      </w:r>
      <w:r>
        <w:rPr>
          <w:rFonts w:hint="eastAsia"/>
        </w:rPr>
        <w:t>ultrasonic-rebound combined method</w:t>
      </w:r>
    </w:p>
    <w:p>
      <w:pPr>
        <w:ind w:firstLine="315" w:firstLineChars="150"/>
      </w:pPr>
      <w:r>
        <w:rPr>
          <w:rFonts w:hint="eastAsia"/>
        </w:rPr>
        <w:t>通过测定混凝土的超声波声速值和回弹值检测混凝土抗压强度的方法。</w:t>
      </w:r>
    </w:p>
    <w:p>
      <w:r>
        <w:rPr>
          <w:b/>
        </w:rPr>
        <w:t>2.0.8</w:t>
      </w:r>
      <w:r>
        <w:rPr>
          <w:rFonts w:hint="eastAsia"/>
        </w:rPr>
        <w:t xml:space="preserve"> </w:t>
      </w:r>
      <w:r>
        <w:t xml:space="preserve"> </w:t>
      </w:r>
      <w:r>
        <w:rPr>
          <w:rFonts w:hint="eastAsia"/>
        </w:rPr>
        <w:t xml:space="preserve">拉脱法 </w:t>
      </w:r>
      <w:r>
        <w:t xml:space="preserve"> </w:t>
      </w:r>
      <w:r>
        <w:rPr>
          <w:rFonts w:hint="eastAsia"/>
        </w:rPr>
        <w:t>pulled off method</w:t>
      </w:r>
    </w:p>
    <w:p>
      <w:pPr>
        <w:ind w:firstLine="420" w:firstLineChars="200"/>
        <w:rPr>
          <w:strike/>
        </w:rPr>
      </w:pPr>
      <w:r>
        <w:rPr>
          <w:rFonts w:hint="eastAsia"/>
        </w:rPr>
        <w:t>在已硬化的混凝土结构构件上，钻制直径44mm、深度44mm芯样试件，用具有自动夹紧试件的装置进行拉脱试验，根据芯样试件的拉脱强度值推定混凝土抗压强度的方法。</w:t>
      </w:r>
    </w:p>
    <w:p>
      <w:r>
        <w:rPr>
          <w:b/>
        </w:rPr>
        <w:t>2.0.9</w:t>
      </w:r>
      <w:r>
        <w:rPr>
          <w:rFonts w:hint="eastAsia"/>
        </w:rPr>
        <w:t xml:space="preserve"> </w:t>
      </w:r>
      <w:r>
        <w:t xml:space="preserve"> </w:t>
      </w:r>
      <w:r>
        <w:rPr>
          <w:rFonts w:hint="eastAsia"/>
        </w:rPr>
        <w:t xml:space="preserve">超声法 </w:t>
      </w:r>
      <w:r>
        <w:t xml:space="preserve"> </w:t>
      </w:r>
      <w:r>
        <w:rPr>
          <w:rFonts w:hint="eastAsia"/>
        </w:rPr>
        <w:t>ultrasonic method</w:t>
      </w:r>
    </w:p>
    <w:p>
      <w:pPr>
        <w:ind w:firstLine="315" w:firstLineChars="150"/>
      </w:pPr>
      <w:r>
        <w:rPr>
          <w:rFonts w:hint="eastAsia"/>
        </w:rPr>
        <w:t>通过测定超声脉冲波的有关声学参数检测非金属材料缺陷和抗压强度的方法。</w:t>
      </w:r>
    </w:p>
    <w:p>
      <w:pPr>
        <w:rPr>
          <w:color w:val="000000"/>
        </w:rPr>
      </w:pPr>
      <w:r>
        <w:rPr>
          <w:b/>
          <w:color w:val="000000"/>
        </w:rPr>
        <w:t>2.0.10</w:t>
      </w:r>
      <w:r>
        <w:rPr>
          <w:color w:val="000000"/>
        </w:rPr>
        <w:t xml:space="preserve">  </w:t>
      </w:r>
      <w:r>
        <w:rPr>
          <w:rFonts w:hint="eastAsia"/>
          <w:color w:val="000000"/>
        </w:rPr>
        <w:t xml:space="preserve">相控阵超声成像法 </w:t>
      </w:r>
      <w:r>
        <w:rPr>
          <w:color w:val="000000"/>
        </w:rPr>
        <w:t xml:space="preserve"> phased array ultrasonic imaging method</w:t>
      </w:r>
    </w:p>
    <w:p>
      <w:pPr>
        <w:ind w:firstLine="315" w:firstLineChars="150"/>
        <w:rPr>
          <w:color w:val="000000"/>
        </w:rPr>
      </w:pPr>
      <w:r>
        <w:rPr>
          <w:rFonts w:hint="eastAsia"/>
          <w:color w:val="000000"/>
        </w:rPr>
        <w:t>通过控制发射（或接收）脉冲的不同延迟时间，改变声波到达物体内某点时的相位关系，实现超声波的波束扫描、偏转和聚焦，并以图像形式呈现非金属材料内部缺陷的方法。</w:t>
      </w:r>
    </w:p>
    <w:p>
      <w:pPr>
        <w:rPr>
          <w:b/>
        </w:rPr>
      </w:pPr>
      <w:r>
        <w:rPr>
          <w:b/>
        </w:rPr>
        <w:t>2.0.11</w:t>
      </w:r>
      <w:r>
        <w:rPr>
          <w:rFonts w:hint="eastAsia"/>
          <w:b/>
        </w:rPr>
        <w:t xml:space="preserve"> </w:t>
      </w:r>
      <w:r>
        <w:rPr>
          <w:b/>
        </w:rPr>
        <w:t xml:space="preserve"> </w:t>
      </w:r>
      <w:r>
        <w:rPr>
          <w:rFonts w:hint="eastAsia"/>
        </w:rPr>
        <w:t>冲击回波法  impact echo method</w:t>
      </w:r>
    </w:p>
    <w:p>
      <w:pPr>
        <w:ind w:firstLine="420" w:firstLineChars="200"/>
        <w:sectPr>
          <w:footerReference r:id="rId8" w:type="even"/>
          <w:pgSz w:w="7938" w:h="11510"/>
          <w:pgMar w:top="1083" w:right="1009" w:bottom="1083" w:left="1009" w:header="851" w:footer="992" w:gutter="0"/>
          <w:cols w:space="425" w:num="1"/>
          <w:docGrid w:type="lines" w:linePitch="312" w:charSpace="0"/>
        </w:sectPr>
      </w:pPr>
      <w:r>
        <w:rPr>
          <w:rFonts w:hint="eastAsia"/>
        </w:rPr>
        <w:t>通过冲击方式产生瞬态冲击弹性波并接收冲击弹性波信号，通过分析冲击弹性波及其回波的波速、波形和主频频率等参数的变化，判断混凝土结构的厚度或内部缺陷的方法。</w:t>
      </w:r>
    </w:p>
    <w:p>
      <w:pPr>
        <w:pStyle w:val="2"/>
      </w:pPr>
      <w:bookmarkStart w:id="35" w:name="_Toc6318060"/>
      <w:bookmarkStart w:id="36" w:name="_Toc6325041"/>
      <w:bookmarkStart w:id="37" w:name="_Toc523216645"/>
      <w:bookmarkStart w:id="38" w:name="_Toc523216187"/>
      <w:bookmarkStart w:id="39" w:name="_Toc522627933"/>
      <w:bookmarkStart w:id="40" w:name="_Toc515287970"/>
      <w:bookmarkStart w:id="41" w:name="_Toc515373874"/>
      <w:bookmarkStart w:id="42" w:name="_Toc12886294"/>
      <w:bookmarkStart w:id="43" w:name="_Toc8736822"/>
      <w:bookmarkStart w:id="44" w:name="_Toc17273645"/>
      <w:bookmarkStart w:id="45" w:name="_Toc12959516"/>
      <w:bookmarkStart w:id="46" w:name="_Toc522031092"/>
      <w:bookmarkStart w:id="47" w:name="_Toc521503659"/>
      <w:r>
        <w:rPr>
          <w:rFonts w:hint="eastAsia"/>
          <w:b/>
        </w:rPr>
        <w:t>3</w:t>
      </w:r>
      <w:r>
        <w:rPr>
          <w:b/>
        </w:rPr>
        <w:t xml:space="preserve"> </w:t>
      </w:r>
      <w:r>
        <w:rPr>
          <w:rFonts w:hint="eastAsia"/>
        </w:rPr>
        <w:t xml:space="preserve"> 基本规定</w:t>
      </w:r>
      <w:bookmarkEnd w:id="35"/>
      <w:bookmarkEnd w:id="36"/>
      <w:bookmarkEnd w:id="37"/>
      <w:bookmarkEnd w:id="38"/>
      <w:bookmarkEnd w:id="39"/>
      <w:bookmarkEnd w:id="40"/>
      <w:bookmarkEnd w:id="41"/>
      <w:bookmarkEnd w:id="42"/>
      <w:bookmarkEnd w:id="43"/>
      <w:bookmarkEnd w:id="44"/>
      <w:bookmarkEnd w:id="45"/>
      <w:bookmarkEnd w:id="46"/>
      <w:bookmarkEnd w:id="47"/>
      <w:r>
        <w:fldChar w:fldCharType="begin"/>
      </w:r>
      <w:r>
        <w:instrText xml:space="preserve"> </w:instrText>
      </w:r>
      <w:r>
        <w:rPr>
          <w:rFonts w:hint="eastAsia"/>
        </w:rPr>
        <w:instrText xml:space="preserve">TC  "</w:instrText>
      </w:r>
      <w:bookmarkStart w:id="48" w:name="_Toc17274685"/>
      <w:bookmarkStart w:id="49" w:name="_Toc515374461"/>
      <w:r>
        <w:rPr>
          <w:rFonts w:hint="eastAsia"/>
        </w:rPr>
        <w:instrText xml:space="preserve">3  Basic Requirements</w:instrText>
      </w:r>
      <w:bookmarkEnd w:id="48"/>
      <w:bookmarkEnd w:id="49"/>
      <w:r>
        <w:rPr>
          <w:rFonts w:hint="eastAsia"/>
        </w:rPr>
        <w:instrText xml:space="preserve">" \l 1</w:instrText>
      </w:r>
      <w:r>
        <w:instrText xml:space="preserve"> </w:instrText>
      </w:r>
      <w:r>
        <w:fldChar w:fldCharType="end"/>
      </w:r>
    </w:p>
    <w:p>
      <w:r>
        <w:rPr>
          <w:rFonts w:hint="eastAsia"/>
          <w:b/>
        </w:rPr>
        <w:t xml:space="preserve">3.0.1 </w:t>
      </w:r>
      <w:r>
        <w:rPr>
          <w:b/>
        </w:rPr>
        <w:t xml:space="preserve"> </w:t>
      </w:r>
      <w:r>
        <w:rPr>
          <w:rFonts w:hint="eastAsia"/>
        </w:rPr>
        <w:t>装配式混凝土结构工程质量检测包括材料检测、预制构件进场检测、安装与连接质量检测、结构实体与整体性检验等。当仅由静力性能检测无法识别损伤和诊断缺陷时，宜对结构进行动力性能测试和结构安全性监测。</w:t>
      </w:r>
    </w:p>
    <w:p>
      <w:r>
        <w:rPr>
          <w:rFonts w:hint="eastAsia"/>
          <w:b/>
        </w:rPr>
        <w:t xml:space="preserve">3.0.2 </w:t>
      </w:r>
      <w:r>
        <w:rPr>
          <w:b/>
        </w:rPr>
        <w:t xml:space="preserve"> </w:t>
      </w:r>
      <w:r>
        <w:rPr>
          <w:rFonts w:hint="eastAsia"/>
        </w:rPr>
        <w:t>当遇到下列情况之一时，应进行装配式混凝土结构工程质量检测：</w:t>
      </w:r>
    </w:p>
    <w:p>
      <w:pPr>
        <w:ind w:firstLine="316" w:firstLineChars="150"/>
      </w:pPr>
      <w:r>
        <w:rPr>
          <w:rFonts w:hint="eastAsia"/>
          <w:b/>
        </w:rPr>
        <w:t>1</w:t>
      </w:r>
      <w:r>
        <w:t xml:space="preserve"> </w:t>
      </w:r>
      <w:r>
        <w:rPr>
          <w:rFonts w:hint="eastAsia"/>
        </w:rPr>
        <w:t xml:space="preserve"> 涉及结构工程质量的材料、构件及连接检验数量不足；</w:t>
      </w:r>
    </w:p>
    <w:p>
      <w:pPr>
        <w:ind w:firstLine="316" w:firstLineChars="150"/>
      </w:pPr>
      <w:r>
        <w:rPr>
          <w:rFonts w:hint="eastAsia"/>
          <w:b/>
        </w:rPr>
        <w:t>2</w:t>
      </w:r>
      <w:r>
        <w:rPr>
          <w:rFonts w:hint="eastAsia"/>
        </w:rPr>
        <w:t xml:space="preserve"> </w:t>
      </w:r>
      <w:r>
        <w:t xml:space="preserve"> </w:t>
      </w:r>
      <w:r>
        <w:rPr>
          <w:rFonts w:hint="eastAsia"/>
        </w:rPr>
        <w:t>材料、构件的驻厂检验或进场检验缺失，或对其检验结果存在争议；</w:t>
      </w:r>
    </w:p>
    <w:p>
      <w:pPr>
        <w:ind w:firstLine="316" w:firstLineChars="150"/>
      </w:pPr>
      <w:r>
        <w:rPr>
          <w:rFonts w:hint="eastAsia"/>
          <w:b/>
        </w:rPr>
        <w:t>3</w:t>
      </w:r>
      <w:r>
        <w:rPr>
          <w:rFonts w:hint="eastAsia"/>
        </w:rPr>
        <w:t xml:space="preserve"> </w:t>
      </w:r>
      <w:r>
        <w:t xml:space="preserve"> </w:t>
      </w:r>
      <w:r>
        <w:rPr>
          <w:rFonts w:hint="eastAsia"/>
        </w:rPr>
        <w:t>对结构实体质量的抽测结果达不到设计要求或施工验收规范要求；</w:t>
      </w:r>
    </w:p>
    <w:p>
      <w:pPr>
        <w:ind w:firstLine="316" w:firstLineChars="150"/>
      </w:pPr>
      <w:r>
        <w:rPr>
          <w:rFonts w:hint="eastAsia"/>
          <w:b/>
        </w:rPr>
        <w:t>4</w:t>
      </w:r>
      <w:r>
        <w:rPr>
          <w:rFonts w:hint="eastAsia"/>
        </w:rPr>
        <w:t xml:space="preserve"> </w:t>
      </w:r>
      <w:r>
        <w:t xml:space="preserve"> </w:t>
      </w:r>
      <w:r>
        <w:rPr>
          <w:rFonts w:hint="eastAsia"/>
        </w:rPr>
        <w:t>对结构实体质量有争议；</w:t>
      </w:r>
    </w:p>
    <w:p>
      <w:pPr>
        <w:ind w:firstLine="316" w:firstLineChars="150"/>
      </w:pPr>
      <w:r>
        <w:rPr>
          <w:rFonts w:hint="eastAsia"/>
          <w:b/>
        </w:rPr>
        <w:t>5</w:t>
      </w:r>
      <w:r>
        <w:rPr>
          <w:rFonts w:hint="eastAsia"/>
        </w:rPr>
        <w:t xml:space="preserve"> </w:t>
      </w:r>
      <w:r>
        <w:t xml:space="preserve"> </w:t>
      </w:r>
      <w:r>
        <w:rPr>
          <w:rFonts w:hint="eastAsia"/>
        </w:rPr>
        <w:t>发生工程质量事故，需要分析事故原因；</w:t>
      </w:r>
    </w:p>
    <w:p>
      <w:pPr>
        <w:ind w:firstLine="316" w:firstLineChars="150"/>
      </w:pPr>
      <w:r>
        <w:rPr>
          <w:rFonts w:hint="eastAsia"/>
          <w:b/>
        </w:rPr>
        <w:t>6</w:t>
      </w:r>
      <w:r>
        <w:rPr>
          <w:rFonts w:hint="eastAsia"/>
        </w:rPr>
        <w:t xml:space="preserve"> </w:t>
      </w:r>
      <w:r>
        <w:t xml:space="preserve"> </w:t>
      </w:r>
      <w:r>
        <w:rPr>
          <w:rFonts w:hint="eastAsia"/>
        </w:rPr>
        <w:t>相关法规、标准规定进行的工程质量第三方检测；</w:t>
      </w:r>
    </w:p>
    <w:p>
      <w:pPr>
        <w:ind w:firstLine="316" w:firstLineChars="150"/>
      </w:pPr>
      <w:r>
        <w:rPr>
          <w:b/>
          <w:bCs/>
        </w:rPr>
        <w:t>7</w:t>
      </w:r>
      <w:r>
        <w:t xml:space="preserve">  </w:t>
      </w:r>
      <w:r>
        <w:rPr>
          <w:rFonts w:hint="eastAsia"/>
        </w:rPr>
        <w:t>相关行政主管部门要求进行的工程质量第三方检测。</w:t>
      </w:r>
    </w:p>
    <w:p>
      <w:pPr>
        <w:rPr>
          <w:b/>
        </w:rPr>
      </w:pPr>
      <w:r>
        <w:rPr>
          <w:b/>
        </w:rPr>
        <w:t xml:space="preserve">3.0.3  </w:t>
      </w:r>
      <w:r>
        <w:rPr>
          <w:rFonts w:hint="eastAsia"/>
        </w:rPr>
        <w:t>装配式混凝土结构检测应为工程质量的评定提供真实、可靠、有效的检测数据和检测结论。</w:t>
      </w:r>
    </w:p>
    <w:p>
      <w:r>
        <w:rPr>
          <w:rFonts w:hint="eastAsia"/>
          <w:b/>
        </w:rPr>
        <w:t>3.0.</w:t>
      </w:r>
      <w:r>
        <w:rPr>
          <w:b/>
        </w:rPr>
        <w:t>4</w:t>
      </w:r>
      <w:r>
        <w:rPr>
          <w:rFonts w:hint="eastAsia"/>
          <w:b/>
        </w:rPr>
        <w:t xml:space="preserve"> </w:t>
      </w:r>
      <w:r>
        <w:rPr>
          <w:b/>
        </w:rPr>
        <w:t xml:space="preserve"> </w:t>
      </w:r>
      <w:r>
        <w:rPr>
          <w:rFonts w:hint="eastAsia"/>
        </w:rPr>
        <w:t>装配式混凝土结构检测工作程序，宜按图3.0.</w:t>
      </w:r>
      <w:r>
        <w:t>4</w:t>
      </w:r>
      <w:r>
        <w:rPr>
          <w:rFonts w:hint="eastAsia"/>
        </w:rPr>
        <w:t>进行。</w:t>
      </w:r>
    </w:p>
    <w:p>
      <w:pPr>
        <w:spacing w:line="240" w:lineRule="auto"/>
        <w:jc w:val="center"/>
      </w:pPr>
      <w:r>
        <w:rPr>
          <w:rFonts w:hint="eastAsia"/>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2343150" cy="2540000"/>
                <wp:effectExtent l="0" t="0" r="0" b="0"/>
                <wp:wrapNone/>
                <wp:docPr id="55" name="画布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58"/>
                        <wps:cNvSpPr>
                          <a:spLocks noChangeArrowheads="1"/>
                        </wps:cNvSpPr>
                        <wps:spPr bwMode="auto">
                          <a:xfrm>
                            <a:off x="217805" y="57785"/>
                            <a:ext cx="683895" cy="20764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接受委托</w:t>
                              </w:r>
                            </w:p>
                          </w:txbxContent>
                        </wps:txbx>
                        <wps:bodyPr rot="0" vert="horz" wrap="square" lIns="0" tIns="0" rIns="0" bIns="0" anchor="t" anchorCtr="0" upright="1">
                          <a:noAutofit/>
                        </wps:bodyPr>
                      </wps:wsp>
                      <wps:wsp>
                        <wps:cNvPr id="4" name="AutoShape 61"/>
                        <wps:cNvSpPr>
                          <a:spLocks noChangeArrowheads="1"/>
                        </wps:cNvSpPr>
                        <wps:spPr bwMode="auto">
                          <a:xfrm>
                            <a:off x="219710" y="410210"/>
                            <a:ext cx="683895" cy="20891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初步调查</w:t>
                              </w:r>
                            </w:p>
                          </w:txbxContent>
                        </wps:txbx>
                        <wps:bodyPr rot="0" vert="horz" wrap="square" lIns="0" tIns="0" rIns="0" bIns="0" anchor="t" anchorCtr="0" upright="1">
                          <a:noAutofit/>
                        </wps:bodyPr>
                      </wps:wsp>
                      <wps:wsp>
                        <wps:cNvPr id="5" name="AutoShape 62"/>
                        <wps:cNvCnPr>
                          <a:cxnSpLocks noChangeShapeType="1"/>
                          <a:stCxn id="3" idx="2"/>
                          <a:endCxn id="4" idx="0"/>
                        </wps:cNvCnPr>
                        <wps:spPr bwMode="auto">
                          <a:xfrm>
                            <a:off x="560070" y="265430"/>
                            <a:ext cx="1905" cy="144780"/>
                          </a:xfrm>
                          <a:prstGeom prst="straightConnector1">
                            <a:avLst/>
                          </a:prstGeom>
                          <a:noFill/>
                          <a:ln w="9525">
                            <a:solidFill>
                              <a:srgbClr val="000000"/>
                            </a:solidFill>
                            <a:round/>
                            <a:tailEnd type="triangle" w="med" len="med"/>
                          </a:ln>
                        </wps:spPr>
                        <wps:bodyPr/>
                      </wps:wsp>
                      <wps:wsp>
                        <wps:cNvPr id="6" name="AutoShape 63"/>
                        <wps:cNvSpPr>
                          <a:spLocks noChangeArrowheads="1"/>
                        </wps:cNvSpPr>
                        <wps:spPr bwMode="auto">
                          <a:xfrm>
                            <a:off x="91440" y="763270"/>
                            <a:ext cx="948055" cy="20764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制定检测方案</w:t>
                              </w:r>
                            </w:p>
                          </w:txbxContent>
                        </wps:txbx>
                        <wps:bodyPr rot="0" vert="horz" wrap="square" lIns="0" tIns="0" rIns="0" bIns="0" anchor="t" anchorCtr="0" upright="1">
                          <a:spAutoFit/>
                        </wps:bodyPr>
                      </wps:wsp>
                      <wps:wsp>
                        <wps:cNvPr id="7" name="AutoShape 64"/>
                        <wps:cNvCnPr>
                          <a:cxnSpLocks noChangeShapeType="1"/>
                          <a:stCxn id="4" idx="2"/>
                          <a:endCxn id="6" idx="0"/>
                        </wps:cNvCnPr>
                        <wps:spPr bwMode="auto">
                          <a:xfrm>
                            <a:off x="561975" y="619125"/>
                            <a:ext cx="3810" cy="144145"/>
                          </a:xfrm>
                          <a:prstGeom prst="straightConnector1">
                            <a:avLst/>
                          </a:prstGeom>
                          <a:noFill/>
                          <a:ln w="9525">
                            <a:solidFill>
                              <a:srgbClr val="000000"/>
                            </a:solidFill>
                            <a:round/>
                            <a:tailEnd type="triangle" w="med" len="med"/>
                          </a:ln>
                        </wps:spPr>
                        <wps:bodyPr/>
                      </wps:wsp>
                      <wps:wsp>
                        <wps:cNvPr id="8" name="AutoShape 65"/>
                        <wps:cNvSpPr>
                          <a:spLocks noChangeArrowheads="1"/>
                        </wps:cNvSpPr>
                        <wps:spPr bwMode="auto">
                          <a:xfrm>
                            <a:off x="90805" y="1115695"/>
                            <a:ext cx="946785" cy="20891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确认仪器、人员情况</w:t>
                              </w:r>
                            </w:p>
                          </w:txbxContent>
                        </wps:txbx>
                        <wps:bodyPr rot="0" vert="horz" wrap="square" lIns="0" tIns="0" rIns="0" bIns="0" anchor="t" anchorCtr="0" upright="1">
                          <a:noAutofit/>
                        </wps:bodyPr>
                      </wps:wsp>
                      <wps:wsp>
                        <wps:cNvPr id="12" name="AutoShape 66"/>
                        <wps:cNvCnPr>
                          <a:cxnSpLocks noChangeShapeType="1"/>
                          <a:stCxn id="6" idx="2"/>
                          <a:endCxn id="8" idx="0"/>
                        </wps:cNvCnPr>
                        <wps:spPr bwMode="auto">
                          <a:xfrm flipH="1">
                            <a:off x="564515" y="970915"/>
                            <a:ext cx="1270" cy="144780"/>
                          </a:xfrm>
                          <a:prstGeom prst="straightConnector1">
                            <a:avLst/>
                          </a:prstGeom>
                          <a:noFill/>
                          <a:ln w="9525">
                            <a:solidFill>
                              <a:srgbClr val="000000"/>
                            </a:solidFill>
                            <a:round/>
                            <a:tailEnd type="triangle" w="med" len="med"/>
                          </a:ln>
                        </wps:spPr>
                        <wps:bodyPr/>
                      </wps:wsp>
                      <wps:wsp>
                        <wps:cNvPr id="13" name="AutoShape 67"/>
                        <wps:cNvSpPr>
                          <a:spLocks noChangeArrowheads="1"/>
                        </wps:cNvSpPr>
                        <wps:spPr bwMode="auto">
                          <a:xfrm>
                            <a:off x="219710" y="1467485"/>
                            <a:ext cx="683895" cy="20891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现场检测</w:t>
                              </w:r>
                            </w:p>
                          </w:txbxContent>
                        </wps:txbx>
                        <wps:bodyPr rot="0" vert="horz" wrap="square" lIns="0" tIns="0" rIns="0" bIns="0" anchor="t" anchorCtr="0" upright="1">
                          <a:noAutofit/>
                        </wps:bodyPr>
                      </wps:wsp>
                      <wps:wsp>
                        <wps:cNvPr id="14" name="AutoShape 68"/>
                        <wps:cNvCnPr>
                          <a:cxnSpLocks noChangeShapeType="1"/>
                          <a:stCxn id="8" idx="2"/>
                          <a:endCxn id="13" idx="0"/>
                        </wps:cNvCnPr>
                        <wps:spPr bwMode="auto">
                          <a:xfrm flipH="1">
                            <a:off x="561975" y="1324610"/>
                            <a:ext cx="2540" cy="142875"/>
                          </a:xfrm>
                          <a:prstGeom prst="straightConnector1">
                            <a:avLst/>
                          </a:prstGeom>
                          <a:noFill/>
                          <a:ln w="9525">
                            <a:solidFill>
                              <a:srgbClr val="000000"/>
                            </a:solidFill>
                            <a:round/>
                            <a:tailEnd type="triangle" w="med" len="med"/>
                          </a:ln>
                        </wps:spPr>
                        <wps:bodyPr/>
                      </wps:wsp>
                      <wps:wsp>
                        <wps:cNvPr id="15" name="AutoShape 70"/>
                        <wps:cNvSpPr>
                          <a:spLocks noChangeArrowheads="1"/>
                        </wps:cNvSpPr>
                        <wps:spPr bwMode="auto">
                          <a:xfrm>
                            <a:off x="92710" y="1937385"/>
                            <a:ext cx="946785" cy="20891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计算分析和结果评价</w:t>
                              </w:r>
                            </w:p>
                          </w:txbxContent>
                        </wps:txbx>
                        <wps:bodyPr rot="0" vert="horz" wrap="square" lIns="0" tIns="0" rIns="0" bIns="0" anchor="t" anchorCtr="0" upright="1">
                          <a:noAutofit/>
                        </wps:bodyPr>
                      </wps:wsp>
                      <wps:wsp>
                        <wps:cNvPr id="16" name="AutoShape 71"/>
                        <wps:cNvCnPr>
                          <a:cxnSpLocks noChangeShapeType="1"/>
                          <a:stCxn id="13" idx="2"/>
                          <a:endCxn id="15" idx="0"/>
                        </wps:cNvCnPr>
                        <wps:spPr bwMode="auto">
                          <a:xfrm>
                            <a:off x="561658" y="1676400"/>
                            <a:ext cx="4445" cy="260985"/>
                          </a:xfrm>
                          <a:prstGeom prst="straightConnector1">
                            <a:avLst/>
                          </a:prstGeom>
                          <a:noFill/>
                          <a:ln w="9525">
                            <a:solidFill>
                              <a:srgbClr val="000000"/>
                            </a:solidFill>
                            <a:round/>
                            <a:tailEnd type="triangle" w="med" len="med"/>
                          </a:ln>
                        </wps:spPr>
                        <wps:bodyPr/>
                      </wps:wsp>
                      <wps:wsp>
                        <wps:cNvPr id="17" name="AutoShape 72"/>
                        <wps:cNvSpPr>
                          <a:spLocks noChangeArrowheads="1"/>
                        </wps:cNvSpPr>
                        <wps:spPr bwMode="auto">
                          <a:xfrm>
                            <a:off x="221615" y="2289175"/>
                            <a:ext cx="683895" cy="20891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检测报告</w:t>
                              </w:r>
                            </w:p>
                          </w:txbxContent>
                        </wps:txbx>
                        <wps:bodyPr rot="0" vert="horz" wrap="square" lIns="0" tIns="0" rIns="0" bIns="0" anchor="t" anchorCtr="0" upright="1">
                          <a:noAutofit/>
                        </wps:bodyPr>
                      </wps:wsp>
                      <wps:wsp>
                        <wps:cNvPr id="18" name="AutoShape 73"/>
                        <wps:cNvCnPr>
                          <a:cxnSpLocks noChangeShapeType="1"/>
                          <a:stCxn id="15" idx="2"/>
                          <a:endCxn id="17" idx="0"/>
                        </wps:cNvCnPr>
                        <wps:spPr bwMode="auto">
                          <a:xfrm flipH="1">
                            <a:off x="563563" y="2146300"/>
                            <a:ext cx="2540" cy="142875"/>
                          </a:xfrm>
                          <a:prstGeom prst="straightConnector1">
                            <a:avLst/>
                          </a:prstGeom>
                          <a:noFill/>
                          <a:ln w="9525">
                            <a:solidFill>
                              <a:srgbClr val="000000"/>
                            </a:solidFill>
                            <a:round/>
                            <a:tailEnd type="triangle" w="med" len="med"/>
                          </a:ln>
                        </wps:spPr>
                        <wps:bodyPr/>
                      </wps:wsp>
                      <wps:wsp>
                        <wps:cNvPr id="19" name="AutoShape 74"/>
                        <wps:cNvSpPr>
                          <a:spLocks noChangeArrowheads="1"/>
                        </wps:cNvSpPr>
                        <wps:spPr bwMode="auto">
                          <a:xfrm>
                            <a:off x="1359535" y="1677670"/>
                            <a:ext cx="939800" cy="208915"/>
                          </a:xfrm>
                          <a:prstGeom prst="flowChartProcess">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复检、补充检测</w:t>
                              </w:r>
                            </w:p>
                          </w:txbxContent>
                        </wps:txbx>
                        <wps:bodyPr rot="0" vert="horz" wrap="square" lIns="0" tIns="0" rIns="0" bIns="0" anchor="t" anchorCtr="0" upright="1">
                          <a:noAutofit/>
                        </wps:bodyPr>
                      </wps:wsp>
                      <wps:wsp>
                        <wps:cNvPr id="9" name="连接符: 肘形 9"/>
                        <wps:cNvCnPr>
                          <a:stCxn id="15" idx="3"/>
                          <a:endCxn id="19" idx="2"/>
                        </wps:cNvCnPr>
                        <wps:spPr>
                          <a:xfrm flipV="1">
                            <a:off x="1039495" y="1886585"/>
                            <a:ext cx="789940" cy="155258"/>
                          </a:xfrm>
                          <a:prstGeom prst="bentConnector2">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0" name="连接符: 肘形 10"/>
                        <wps:cNvCnPr>
                          <a:stCxn id="19" idx="0"/>
                          <a:endCxn id="13" idx="3"/>
                        </wps:cNvCnPr>
                        <wps:spPr>
                          <a:xfrm rot="16200000" flipV="1">
                            <a:off x="1313657" y="1161892"/>
                            <a:ext cx="105727" cy="925830"/>
                          </a:xfrm>
                          <a:prstGeom prst="bentConnector2">
                            <a:avLst/>
                          </a:prstGeom>
                          <a:ln w="9525">
                            <a:tailEnd type="triangle"/>
                          </a:ln>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_x0000_s1026" o:spid="_x0000_s1026" o:spt="203" style="position:absolute;left:0pt;margin-left:0pt;margin-top:0pt;height:200pt;width:184.5pt;mso-position-horizontal-relative:char;mso-position-vertical-relative:line;z-index:251658240;mso-width-relative:page;mso-height-relative:page;" coordsize="2343150,2540000" editas="canvas" o:gfxdata="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">
                <o:lock v:ext="edit" aspectratio="f"/>
                <v:shape id="_x0000_s1026" o:spid="_x0000_s1026" style="position:absolute;left:0;top:0;height:2540000;width:2343150;" filled="f" stroked="f" coordsize="21600,21600" o:gfxdata="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BYJsMS1gAAAAUBAAAPAAAAAAAAAAEAIAAAACIAAABkcnMvZG93&#10;bnJldi54bWxQSwECFAAUAAAACACHTuJAEZM3nwQGAADhKQAADgAAAAAAAAABACAAAAAlAQAAZHJz&#10;L2Uyb0RvYy54bWxQSwUGAAAAAAYABgBZAQAAmwkAAAAA&#10;">
                  <v:fill on="f" focussize="0,0"/>
                  <v:stroke on="f"/>
                  <v:imagedata o:title=""/>
                  <o:lock v:ext="edit" aspectratio="t"/>
                </v:shape>
                <v:shape id="AutoShape 58" o:spid="_x0000_s1026" o:spt="109" type="#_x0000_t109" style="position:absolute;left:217805;top:57785;height:207645;width:683895;"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oUgY1AAAAAUBAAAPAAAA&#10;AAAAAAEAIAAAACIAAABkcnMvZG93bnJldi54bWxQSwECFAAUAAAACACHTuJA6AjxvhkCAAA0BAAA&#10;DgAAAAAAAAABACAAAAAjAQAAZHJzL2Uyb0RvYy54bWxQSwUGAAAAAAYABgBZAQAArgU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接受委托</w:t>
                        </w:r>
                      </w:p>
                    </w:txbxContent>
                  </v:textbox>
                </v:shape>
                <v:shape id="AutoShape 61" o:spid="_x0000_s1026" o:spt="109" type="#_x0000_t109" style="position:absolute;left:219710;top:410210;height:208915;width:683895;"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oUgY1AAAAAUBAAAPAAAAAAAA&#10;AAEAIAAAACIAAABkcnMvZG93bnJldi54bWxQSwECFAAUAAAACACHTuJAv+uQ/hYCAAA1BAAADgAA&#10;AAAAAAABACAAAAAjAQAAZHJzL2Uyb0RvYy54bWxQSwUGAAAAAAYABgBZAQAAqwU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初步调查</w:t>
                        </w:r>
                      </w:p>
                    </w:txbxContent>
                  </v:textbox>
                </v:shape>
                <v:shape id="AutoShape 62" o:spid="_x0000_s1026" o:spt="32" type="#_x0000_t32" style="position:absolute;left:560070;top:265430;height:144780;width:1905;" filled="f" stroked="t" coordsize="21600,21600" o:gfxdata="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OiR31QAAAAUBAAAPAAAAAAAAAAEAIAAAACIAAABkcnMvZG93bnJldi54bWxQ&#10;SwECFAAUAAAACACHTuJA6U0I0PoBAADSAwAADgAAAAAAAAABACAAAAAkAQAAZHJzL2Uyb0RvYy54&#10;bWxQSwUGAAAAAAYABgBZAQAAkAUAAAAA&#10;">
                  <v:fill on="f" focussize="0,0"/>
                  <v:stroke color="#000000" joinstyle="round" endarrow="block"/>
                  <v:imagedata o:title=""/>
                  <o:lock v:ext="edit" aspectratio="f"/>
                </v:shape>
                <v:shape id="AutoShape 63" o:spid="_x0000_s1026" o:spt="109" type="#_x0000_t109" style="position:absolute;left:91440;top:763270;height:207645;width:948055;" fillcolor="#FFFFFF" filled="t" stroked="t" coordsize="21600,21600" o:gfxdata="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H2MY0wAAAAUBAAAPAAAAAAAA&#10;AAEAIAAAACIAAABkcnMvZG93bnJldi54bWxQSwECFAAUAAAACACHTuJAqRxXIhcCAAA0BAAADgAA&#10;AAAAAAABACAAAAAiAQAAZHJzL2Uyb0RvYy54bWxQSwUGAAAAAAYABgBZAQAAqwUAAAAA&#10;">
                  <v:fill on="t" focussize="0,0"/>
                  <v:stroke color="#000000" miterlimit="8" joinstyle="miter"/>
                  <v:imagedata o:title=""/>
                  <o:lock v:ext="edit" aspectratio="f"/>
                  <v:textbox inset="0mm,0mm,0mm,0mm" style="mso-fit-shape-to-text:t;">
                    <w:txbxContent>
                      <w:p>
                        <w:pPr>
                          <w:spacing w:line="240" w:lineRule="auto"/>
                          <w:jc w:val="center"/>
                          <w:rPr>
                            <w:sz w:val="15"/>
                            <w:szCs w:val="15"/>
                          </w:rPr>
                        </w:pPr>
                        <w:r>
                          <w:rPr>
                            <w:rFonts w:hint="eastAsia"/>
                            <w:sz w:val="15"/>
                            <w:szCs w:val="15"/>
                          </w:rPr>
                          <w:t>制定检测方案</w:t>
                        </w:r>
                      </w:p>
                    </w:txbxContent>
                  </v:textbox>
                </v:shape>
                <v:shape id="AutoShape 64" o:spid="_x0000_s1026" o:spt="32" type="#_x0000_t32" style="position:absolute;left:561975;top:619125;height:144145;width:3810;" filled="f" stroked="t" coordsize="21600,21600" o:gfxdata="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OiR31QAAAAUBAAAPAAAAAAAAAAEAIAAAACIAAABkcnMvZG93bnJldi54bWxQSwEC&#10;FAAUAAAACACHTuJAb8KoP/cBAADSAwAADgAAAAAAAAABACAAAAAkAQAAZHJzL2Uyb0RvYy54bWxQ&#10;SwUGAAAAAAYABgBZAQAAjQUAAAAA&#10;">
                  <v:fill on="f" focussize="0,0"/>
                  <v:stroke color="#000000" joinstyle="round" endarrow="block"/>
                  <v:imagedata o:title=""/>
                  <o:lock v:ext="edit" aspectratio="f"/>
                </v:shape>
                <v:shape id="AutoShape 65" o:spid="_x0000_s1026" o:spt="109" type="#_x0000_t109" style="position:absolute;left:90805;top:1115695;height:208915;width:946785;"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oUgY1AAAAAUBAAAPAAAAAAAA&#10;AAEAIAAAACIAAABkcnMvZG93bnJldi54bWxQSwECFAAUAAAACACHTuJAqLT+vRYCAAA1BAAADgAA&#10;AAAAAAABACAAAAAjAQAAZHJzL2Uyb0RvYy54bWxQSwUGAAAAAAYABgBZAQAAqwU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确认仪器、人员情况</w:t>
                        </w:r>
                      </w:p>
                    </w:txbxContent>
                  </v:textbox>
                </v:shape>
                <v:shape id="AutoShape 66" o:spid="_x0000_s1026" o:spt="32" type="#_x0000_t32" style="position:absolute;left:564515;top:970915;flip:x;height:144780;width:1270;" filled="f" stroked="t" coordsize="21600,21600" o:gfxdata="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mDAnVAAAABQEAAA8AAAAAAAAAAQAgAAAAIgAAAGRycy9kb3ducmV2&#10;LnhtbFBLAQIUABQAAAAIAIdO4kCfIKAx/wEAAN0DAAAOAAAAAAAAAAEAIAAAACQBAABkcnMvZTJv&#10;RG9jLnhtbFBLBQYAAAAABgAGAFkBAACVBQAAAAA=&#10;">
                  <v:fill on="f" focussize="0,0"/>
                  <v:stroke color="#000000" joinstyle="round" endarrow="block"/>
                  <v:imagedata o:title=""/>
                  <o:lock v:ext="edit" aspectratio="f"/>
                </v:shape>
                <v:shape id="AutoShape 67" o:spid="_x0000_s1026" o:spt="109" type="#_x0000_t109" style="position:absolute;left:219710;top:1467485;height:208915;width:683895;"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oUgY1AAAAAUBAAAP&#10;AAAAAAAAAAEAIAAAACIAAABkcnMvZG93bnJldi54bWxQSwECFAAUAAAACACHTuJAMRXdjBwCAAA3&#10;BAAADgAAAAAAAAABACAAAAAjAQAAZHJzL2Uyb0RvYy54bWxQSwUGAAAAAAYABgBZAQAAsQU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现场检测</w:t>
                        </w:r>
                      </w:p>
                    </w:txbxContent>
                  </v:textbox>
                </v:shape>
                <v:shape id="AutoShape 68" o:spid="_x0000_s1026" o:spt="32" type="#_x0000_t32" style="position:absolute;left:561975;top:1324610;flip:x;height:142875;width:2540;" filled="f" stroked="t" coordsize="21600,21600" o:gfxdata="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pgwJ1QAAAAUBAAAPAAAAAAAAAAEAIAAAACIAAABkcnMvZG93bnJl&#10;di54bWxQSwECFAAUAAAACACHTuJA2rjoBAACAADfAwAADgAAAAAAAAABACAAAAAkAQAAZHJzL2Uy&#10;b0RvYy54bWxQSwUGAAAAAAYABgBZAQAAlgUAAAAA&#10;">
                  <v:fill on="f" focussize="0,0"/>
                  <v:stroke color="#000000" joinstyle="round" endarrow="block"/>
                  <v:imagedata o:title=""/>
                  <o:lock v:ext="edit" aspectratio="f"/>
                </v:shape>
                <v:shape id="AutoShape 70" o:spid="_x0000_s1026" o:spt="109" type="#_x0000_t109" style="position:absolute;left:92710;top:1937385;height:208915;width:946785;"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KFIGNQAAAAFAQAADwAAAAAA&#10;AAABACAAAAAiAAAAZHJzL2Rvd25yZXYueG1sUEsBAhQAFAAAAAgAh07iQCs7D24XAgAANgQAAA4A&#10;AAAAAAAAAQAgAAAAIwEAAGRycy9lMm9Eb2MueG1sUEsFBgAAAAAGAAYAWQEAAKwFA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计算分析和结果评价</w:t>
                        </w:r>
                      </w:p>
                    </w:txbxContent>
                  </v:textbox>
                </v:shape>
                <v:shape id="AutoShape 71" o:spid="_x0000_s1026" o:spt="32" type="#_x0000_t32" style="position:absolute;left:561658;top:1676400;height:260985;width:4445;" filled="f" stroked="t" coordsize="21600,21600" o:gfxdata="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86JHfVAAAABQEAAA8AAAAAAAAAAQAgAAAAIgAAAGRycy9kb3ducmV2LnhtbFBL&#10;AQIUABQAAAAIAIdO4kBtkd6p+QEAANYDAAAOAAAAAAAAAAEAIAAAACQBAABkcnMvZTJvRG9jLnht&#10;bFBLBQYAAAAABgAGAFkBAACPBQAAAAA=&#10;">
                  <v:fill on="f" focussize="0,0"/>
                  <v:stroke color="#000000" joinstyle="round" endarrow="block"/>
                  <v:imagedata o:title=""/>
                  <o:lock v:ext="edit" aspectratio="f"/>
                </v:shape>
                <v:shape id="AutoShape 72" o:spid="_x0000_s1026" o:spt="109" type="#_x0000_t109" style="position:absolute;left:221615;top:2289175;height:208915;width:683895;"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KFIGNQAAAAFAQAADwAAAAAA&#10;AAABACAAAAAiAAAAZHJzL2Rvd25yZXYueG1sUEsBAhQAFAAAAAgAh07iQEdJ10cXAgAANwQAAA4A&#10;AAAAAAAAAQAgAAAAIwEAAGRycy9lMm9Eb2MueG1sUEsFBgAAAAAGAAYAWQEAAKwFA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检测报告</w:t>
                        </w:r>
                      </w:p>
                    </w:txbxContent>
                  </v:textbox>
                </v:shape>
                <v:shape id="AutoShape 73" o:spid="_x0000_s1026" o:spt="32" type="#_x0000_t32" style="position:absolute;left:563563;top:2146300;flip:x;height:142875;width:2540;" filled="f" stroked="t" coordsize="21600,21600" o:gfxdata="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pgwJ1QAAAAUBAAAPAAAAAAAAAAEAIAAAACIAAABkcnMvZG93bnJl&#10;di54bWxQSwECFAAUAAAACACHTuJA7bx3JwACAADgAwAADgAAAAAAAAABACAAAAAkAQAAZHJzL2Uy&#10;b0RvYy54bWxQSwUGAAAAAAYABgBZAQAAlgUAAAAA&#10;">
                  <v:fill on="f" focussize="0,0"/>
                  <v:stroke color="#000000" joinstyle="round" endarrow="block"/>
                  <v:imagedata o:title=""/>
                  <o:lock v:ext="edit" aspectratio="f"/>
                </v:shape>
                <v:shape id="AutoShape 74" o:spid="_x0000_s1026" o:spt="109" type="#_x0000_t109" style="position:absolute;left:1359535;top:1677670;height:208915;width:939800;" fillcolor="#FFFFFF" filled="t" stroked="t" coordsize="21600,21600" o:gfxdata="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oUgY1AAAAAUBAAAP&#10;AAAAAAAAAAEAIAAAACIAAABkcnMvZG93bnJldi54bWxQSwECFAAUAAAACACHTuJAIk88txwCAAA4&#10;BAAADgAAAAAAAAABACAAAAAjAQAAZHJzL2Uyb0RvYy54bWxQSwUGAAAAAAYABgBZAQAAsQUAAAAA&#10;">
                  <v:fill on="t" focussize="0,0"/>
                  <v:stroke color="#000000" miterlimit="8" joinstyle="miter"/>
                  <v:imagedata o:title=""/>
                  <o:lock v:ext="edit" aspectratio="f"/>
                  <v:textbox inset="0mm,0mm,0mm,0mm">
                    <w:txbxContent>
                      <w:p>
                        <w:pPr>
                          <w:spacing w:line="240" w:lineRule="auto"/>
                          <w:jc w:val="center"/>
                          <w:rPr>
                            <w:sz w:val="15"/>
                            <w:szCs w:val="15"/>
                          </w:rPr>
                        </w:pPr>
                        <w:r>
                          <w:rPr>
                            <w:rFonts w:hint="eastAsia"/>
                            <w:sz w:val="15"/>
                            <w:szCs w:val="15"/>
                          </w:rPr>
                          <w:t>复检、补充检测</w:t>
                        </w:r>
                      </w:p>
                    </w:txbxContent>
                  </v:textbox>
                </v:shape>
                <v:shape id="连接符: 肘形 9" o:spid="_x0000_s1026" o:spt="33" type="#_x0000_t33" style="position:absolute;left:1039495;top:1886585;flip:y;height:155258;width:789940;" filled="f" stroked="t" coordsize="21600,21600" o:gfxdata="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C5xL1QAAAAUBAAAPAAAAAAAA&#10;AAEAIAAAACIAAABkcnMvZG93bnJldi54bWxQSwECFAAUAAAACACHTuJAsve42BUCAADnAwAADgAA&#10;AAAAAAABACAAAAAkAQAAZHJzL2Uyb0RvYy54bWxQSwUGAAAAAAYABgBZAQAAqwUAAAAA&#10;">
                  <v:fill on="f" focussize="0,0"/>
                  <v:stroke color="#000000 [3200]" miterlimit="8" joinstyle="miter" endarrow="block"/>
                  <v:imagedata o:title=""/>
                  <o:lock v:ext="edit" aspectratio="f"/>
                </v:shape>
                <v:shape id="连接符: 肘形 10" o:spid="_x0000_s1026" o:spt="33" type="#_x0000_t33" style="position:absolute;left:1313657;top:1161892;flip:y;height:925830;width:105727;rotation:5898240f;" filled="f" stroked="t" coordsize="21600,21600" o:gfxdata="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RtXtUAAAAF&#10;AQAADwAAAAAAAAABACAAAAAiAAAAZHJzL2Rvd25yZXYueG1sUEsBAhQAFAAAAAgAh07iQAoCor4f&#10;AgAA+AMAAA4AAAAAAAAAAQAgAAAAJAEAAGRycy9lMm9Eb2MueG1sUEsFBgAAAAAGAAYAWQEAALUF&#10;AAAAAA==&#10;">
                  <v:fill on="f" focussize="0,0"/>
                  <v:stroke color="#000000 [3200]" miterlimit="8" joinstyle="miter" endarrow="block"/>
                  <v:imagedata o:title=""/>
                  <o:lock v:ext="edit" aspectratio="f"/>
                </v:shape>
              </v:group>
            </w:pict>
          </mc:Fallback>
        </mc:AlternateContent>
      </w:r>
      <w:r>
        <mc:AlternateContent>
          <mc:Choice Requires="wps">
            <w:drawing>
              <wp:inline distT="0" distB="0" distL="0" distR="0">
                <wp:extent cx="2344420" cy="254063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4420" cy="254063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style="height:200.05pt;width:184.6pt;" filled="f" stroked="f" coordsize="21600,21600" o:gfxdata="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xKxtcAAAAF&#10;AQAADwAAAAAAAAABACAAAAAiAAAAZHJzL2Rvd25yZXYueG1sUEsBAhQAFAAAAAgAh07iQPbWzn/k&#10;AQAAxgMAAA4AAAAAAAAAAQAgAAAAJgEAAGRycy9lMm9Eb2MueG1sUEsFBgAAAAAGAAYAWQEAAHwF&#10;AAAAAA==&#10;">
                <v:fill on="f" focussize="0,0"/>
                <v:stroke on="f"/>
                <v:imagedata o:title=""/>
                <o:lock v:ext="edit" aspectratio="t"/>
                <w10:wrap type="none"/>
                <w10:anchorlock/>
              </v:rect>
            </w:pict>
          </mc:Fallback>
        </mc:AlternateContent>
      </w:r>
    </w:p>
    <w:p>
      <w:pPr>
        <w:jc w:val="center"/>
        <w:rPr>
          <w:sz w:val="18"/>
          <w:szCs w:val="18"/>
        </w:rPr>
      </w:pPr>
      <w:r>
        <w:rPr>
          <w:rFonts w:hint="eastAsia"/>
          <w:sz w:val="18"/>
          <w:szCs w:val="18"/>
        </w:rPr>
        <w:t>图3.0.</w:t>
      </w:r>
      <w:r>
        <w:rPr>
          <w:sz w:val="18"/>
          <w:szCs w:val="18"/>
        </w:rPr>
        <w:t>4</w:t>
      </w:r>
      <w:r>
        <w:rPr>
          <w:rFonts w:hint="eastAsia"/>
          <w:sz w:val="18"/>
          <w:szCs w:val="18"/>
        </w:rPr>
        <w:t xml:space="preserve">  装配式混凝土结构检测工作程序框图</w:t>
      </w:r>
    </w:p>
    <w:p>
      <w:r>
        <w:rPr>
          <w:rFonts w:hint="eastAsia"/>
          <w:b/>
        </w:rPr>
        <w:t>3</w:t>
      </w:r>
      <w:r>
        <w:rPr>
          <w:b/>
        </w:rPr>
        <w:t>.0.5</w:t>
      </w:r>
      <w:r>
        <w:t xml:space="preserve">  </w:t>
      </w:r>
      <w:r>
        <w:rPr>
          <w:rFonts w:hint="eastAsia"/>
        </w:rPr>
        <w:t>现场取样或加工制作的试件应予以标识并妥善保存。</w:t>
      </w:r>
    </w:p>
    <w:p>
      <w:pPr>
        <w:rPr>
          <w:b/>
        </w:rPr>
      </w:pPr>
      <w:r>
        <w:rPr>
          <w:rFonts w:hint="eastAsia"/>
          <w:b/>
        </w:rPr>
        <w:t>3.</w:t>
      </w:r>
      <w:r>
        <w:rPr>
          <w:b/>
        </w:rPr>
        <w:t>0</w:t>
      </w:r>
      <w:r>
        <w:rPr>
          <w:rFonts w:hint="eastAsia"/>
          <w:b/>
        </w:rPr>
        <w:t>.</w:t>
      </w:r>
      <w:r>
        <w:rPr>
          <w:b/>
        </w:rPr>
        <w:t>6</w:t>
      </w:r>
      <w:r>
        <w:rPr>
          <w:rFonts w:hint="eastAsia"/>
          <w:b/>
        </w:rPr>
        <w:t xml:space="preserve"> </w:t>
      </w:r>
      <w:r>
        <w:rPr>
          <w:b/>
        </w:rPr>
        <w:t xml:space="preserve"> </w:t>
      </w:r>
      <w:r>
        <w:rPr>
          <w:rFonts w:hint="eastAsia"/>
        </w:rPr>
        <w:t>当发现检测数据数量不足或检测数据出现异常情况时，应进行补充检测或复检，补充检测或复检应有必要的说明。</w:t>
      </w:r>
    </w:p>
    <w:p>
      <w:pPr>
        <w:rPr>
          <w:b/>
        </w:rPr>
      </w:pPr>
      <w:r>
        <w:rPr>
          <w:rFonts w:hint="eastAsia"/>
          <w:b/>
        </w:rPr>
        <w:t>3.</w:t>
      </w:r>
      <w:r>
        <w:rPr>
          <w:b/>
        </w:rPr>
        <w:t>0</w:t>
      </w:r>
      <w:r>
        <w:rPr>
          <w:rFonts w:hint="eastAsia"/>
          <w:b/>
        </w:rPr>
        <w:t>.</w:t>
      </w:r>
      <w:r>
        <w:rPr>
          <w:b/>
        </w:rPr>
        <w:t>7</w:t>
      </w:r>
      <w:r>
        <w:rPr>
          <w:rFonts w:hint="eastAsia"/>
          <w:b/>
        </w:rPr>
        <w:t xml:space="preserve"> </w:t>
      </w:r>
      <w:r>
        <w:rPr>
          <w:b/>
        </w:rPr>
        <w:t xml:space="preserve"> </w:t>
      </w:r>
      <w:r>
        <w:t>装配式混凝土结构</w:t>
      </w:r>
      <w:r>
        <w:rPr>
          <w:rFonts w:hint="eastAsia"/>
        </w:rPr>
        <w:t>可选用下列检测方法：</w:t>
      </w:r>
    </w:p>
    <w:p>
      <w:pPr>
        <w:ind w:firstLine="316" w:firstLineChars="150"/>
        <w:rPr>
          <w:b/>
        </w:rPr>
      </w:pPr>
      <w:r>
        <w:rPr>
          <w:rFonts w:hint="eastAsia"/>
          <w:b/>
        </w:rPr>
        <w:t xml:space="preserve">1 </w:t>
      </w:r>
      <w:r>
        <w:rPr>
          <w:b/>
        </w:rPr>
        <w:t xml:space="preserve"> </w:t>
      </w:r>
      <w:r>
        <w:rPr>
          <w:rFonts w:hint="eastAsia"/>
        </w:rPr>
        <w:t xml:space="preserve">有相应标准的检测方法； </w:t>
      </w:r>
    </w:p>
    <w:p>
      <w:pPr>
        <w:ind w:firstLine="316" w:firstLineChars="150"/>
        <w:rPr>
          <w:b/>
        </w:rPr>
      </w:pPr>
      <w:r>
        <w:rPr>
          <w:rFonts w:hint="eastAsia"/>
          <w:b/>
        </w:rPr>
        <w:t xml:space="preserve">2 </w:t>
      </w:r>
      <w:r>
        <w:rPr>
          <w:b/>
        </w:rPr>
        <w:t xml:space="preserve"> </w:t>
      </w:r>
      <w:r>
        <w:rPr>
          <w:rFonts w:hint="eastAsia"/>
        </w:rPr>
        <w:t>有关规范、标准规定或建议的检测方法；</w:t>
      </w:r>
      <w:r>
        <w:rPr>
          <w:rFonts w:hint="eastAsia"/>
          <w:b/>
        </w:rPr>
        <w:t xml:space="preserve"> </w:t>
      </w:r>
    </w:p>
    <w:p>
      <w:pPr>
        <w:ind w:firstLine="316" w:firstLineChars="150"/>
        <w:rPr>
          <w:b/>
        </w:rPr>
      </w:pPr>
      <w:r>
        <w:rPr>
          <w:rFonts w:hint="eastAsia"/>
          <w:b/>
        </w:rPr>
        <w:t xml:space="preserve">3 </w:t>
      </w:r>
      <w:r>
        <w:rPr>
          <w:b/>
        </w:rPr>
        <w:t xml:space="preserve"> </w:t>
      </w:r>
      <w:r>
        <w:rPr>
          <w:rFonts w:hint="eastAsia"/>
        </w:rPr>
        <w:t>参照本条第1款的检测标准，扩大其适用范围的检测方法；</w:t>
      </w:r>
    </w:p>
    <w:p>
      <w:pPr>
        <w:ind w:firstLine="316" w:firstLineChars="150"/>
        <w:rPr>
          <w:b/>
        </w:rPr>
      </w:pPr>
      <w:r>
        <w:rPr>
          <w:rFonts w:hint="eastAsia"/>
          <w:b/>
        </w:rPr>
        <w:t xml:space="preserve">4 </w:t>
      </w:r>
      <w:r>
        <w:rPr>
          <w:b/>
        </w:rPr>
        <w:t xml:space="preserve"> </w:t>
      </w:r>
      <w:r>
        <w:rPr>
          <w:rFonts w:hint="eastAsia"/>
        </w:rPr>
        <w:t>检测单位自行研发或引进的检测方法。</w:t>
      </w:r>
    </w:p>
    <w:p>
      <w:r>
        <w:rPr>
          <w:rFonts w:hint="eastAsia"/>
          <w:b/>
        </w:rPr>
        <w:t>3.0.</w:t>
      </w:r>
      <w:r>
        <w:rPr>
          <w:b/>
        </w:rPr>
        <w:t xml:space="preserve">8 </w:t>
      </w:r>
      <w:r>
        <w:rPr>
          <w:rFonts w:hint="eastAsia"/>
          <w:b/>
        </w:rPr>
        <w:t xml:space="preserve"> </w:t>
      </w:r>
      <w:r>
        <w:rPr>
          <w:rFonts w:hint="eastAsia"/>
        </w:rPr>
        <w:t>采用检测单位自行研发或引进的检测仪器及检测方法时，应符合下列规定：</w:t>
      </w:r>
    </w:p>
    <w:p>
      <w:pPr>
        <w:ind w:firstLine="316" w:firstLineChars="150"/>
      </w:pPr>
      <w:r>
        <w:rPr>
          <w:rFonts w:hint="eastAsia"/>
          <w:b/>
        </w:rPr>
        <w:t>1</w:t>
      </w:r>
      <w:r>
        <w:rPr>
          <w:rFonts w:hint="eastAsia"/>
        </w:rPr>
        <w:t xml:space="preserve"> </w:t>
      </w:r>
      <w:r>
        <w:t xml:space="preserve"> </w:t>
      </w:r>
      <w:r>
        <w:rPr>
          <w:rFonts w:hint="eastAsia"/>
        </w:rPr>
        <w:t>通过技术鉴定，并具有一定的工程检测实践经验；</w:t>
      </w:r>
    </w:p>
    <w:p>
      <w:pPr>
        <w:ind w:firstLine="316" w:firstLineChars="150"/>
      </w:pPr>
      <w:r>
        <w:rPr>
          <w:rFonts w:hint="eastAsia"/>
          <w:b/>
        </w:rPr>
        <w:t>2</w:t>
      </w:r>
      <w:r>
        <w:rPr>
          <w:rFonts w:hint="eastAsia"/>
        </w:rPr>
        <w:t xml:space="preserve"> </w:t>
      </w:r>
      <w:r>
        <w:t xml:space="preserve"> </w:t>
      </w:r>
      <w:r>
        <w:rPr>
          <w:rFonts w:hint="eastAsia"/>
        </w:rPr>
        <w:t>与成熟的检测方法进行比对试验；</w:t>
      </w:r>
    </w:p>
    <w:p>
      <w:pPr>
        <w:ind w:firstLine="316" w:firstLineChars="150"/>
      </w:pPr>
      <w:r>
        <w:rPr>
          <w:rFonts w:hint="eastAsia"/>
          <w:b/>
        </w:rPr>
        <w:t>3</w:t>
      </w:r>
      <w:r>
        <w:rPr>
          <w:rFonts w:hint="eastAsia"/>
        </w:rPr>
        <w:t xml:space="preserve"> </w:t>
      </w:r>
      <w:r>
        <w:t xml:space="preserve"> </w:t>
      </w:r>
      <w:r>
        <w:rPr>
          <w:rFonts w:hint="eastAsia"/>
        </w:rPr>
        <w:t>应有相应的检测细则，并应提供测试误差或测试结果的不确定度；</w:t>
      </w:r>
    </w:p>
    <w:p>
      <w:pPr>
        <w:ind w:firstLine="316" w:firstLineChars="150"/>
      </w:pPr>
      <w:r>
        <w:rPr>
          <w:rFonts w:hint="eastAsia"/>
          <w:b/>
        </w:rPr>
        <w:t>4</w:t>
      </w:r>
      <w:r>
        <w:t xml:space="preserve"> </w:t>
      </w:r>
      <w:r>
        <w:rPr>
          <w:rFonts w:hint="eastAsia"/>
        </w:rPr>
        <w:t xml:space="preserve"> 在检测方案中予以说明并经委托方同意。</w:t>
      </w:r>
    </w:p>
    <w:p>
      <w:pPr>
        <w:rPr>
          <w:b/>
        </w:rPr>
      </w:pPr>
      <w:r>
        <w:rPr>
          <w:rFonts w:hint="eastAsia"/>
          <w:b/>
        </w:rPr>
        <w:t>3.</w:t>
      </w:r>
      <w:r>
        <w:rPr>
          <w:b/>
        </w:rPr>
        <w:t>0</w:t>
      </w:r>
      <w:r>
        <w:rPr>
          <w:rFonts w:hint="eastAsia"/>
          <w:b/>
        </w:rPr>
        <w:t>.</w:t>
      </w:r>
      <w:r>
        <w:rPr>
          <w:b/>
        </w:rPr>
        <w:t>9</w:t>
      </w:r>
      <w:r>
        <w:rPr>
          <w:rFonts w:hint="eastAsia"/>
          <w:b/>
        </w:rPr>
        <w:t xml:space="preserve"> </w:t>
      </w:r>
      <w:r>
        <w:rPr>
          <w:b/>
        </w:rPr>
        <w:t xml:space="preserve"> </w:t>
      </w:r>
      <w:r>
        <w:rPr>
          <w:rFonts w:hint="eastAsia"/>
        </w:rPr>
        <w:t>现场检测宜选用对结构或构件无损伤的检测方法。当选用局部破损检测方法或原位检测方法时，宜选择结构构件受力较小的部位，并不应损害结构的安全性。</w:t>
      </w:r>
    </w:p>
    <w:p>
      <w:r>
        <w:rPr>
          <w:rFonts w:hint="eastAsia"/>
          <w:b/>
        </w:rPr>
        <w:t>3.0.</w:t>
      </w:r>
      <w:r>
        <w:rPr>
          <w:b/>
        </w:rPr>
        <w:t xml:space="preserve">10 </w:t>
      </w:r>
      <w:r>
        <w:rPr>
          <w:rFonts w:hint="eastAsia"/>
          <w:b/>
        </w:rPr>
        <w:t xml:space="preserve"> </w:t>
      </w:r>
      <w:r>
        <w:rPr>
          <w:rFonts w:hint="eastAsia"/>
        </w:rPr>
        <w:t>装配式混凝土结构工程质量检测方法和抽样数量，除应符合本标准的规定及设计要求外，还应符合现行国家、行业及广东省相关标准的规定。</w:t>
      </w:r>
    </w:p>
    <w:p>
      <w:r>
        <w:rPr>
          <w:b/>
        </w:rPr>
        <w:t>3.0.11</w:t>
      </w:r>
      <w:r>
        <w:t xml:space="preserve">  </w:t>
      </w:r>
      <w:r>
        <w:rPr>
          <w:rFonts w:hint="eastAsia"/>
        </w:rPr>
        <w:t>装配式混凝土结构工程质量检测报告应做出所检测项目是否符合设计文件要求或相应验收规范规定的评定。</w:t>
      </w:r>
    </w:p>
    <w:p>
      <w:r>
        <w:rPr>
          <w:rFonts w:hint="eastAsia"/>
          <w:b/>
        </w:rPr>
        <w:t>3.0.</w:t>
      </w:r>
      <w:r>
        <w:rPr>
          <w:b/>
        </w:rPr>
        <w:t xml:space="preserve">12 </w:t>
      </w:r>
      <w:r>
        <w:rPr>
          <w:rFonts w:hint="eastAsia"/>
          <w:b/>
        </w:rPr>
        <w:t xml:space="preserve"> </w:t>
      </w:r>
      <w:r>
        <w:rPr>
          <w:rFonts w:hint="eastAsia"/>
        </w:rPr>
        <w:t>检测报告应内容完整、结论准确、用词规范、文字简练，且应符合现行国家、行业及广东省相关标准与管理规定的要求。</w:t>
      </w:r>
    </w:p>
    <w:p>
      <w:r>
        <w:rPr>
          <w:rFonts w:hint="eastAsia"/>
          <w:b/>
        </w:rPr>
        <w:t>3.0.</w:t>
      </w:r>
      <w:r>
        <w:rPr>
          <w:b/>
        </w:rPr>
        <w:t>13</w:t>
      </w:r>
      <w:r>
        <w:rPr>
          <w:rFonts w:hint="eastAsia"/>
        </w:rPr>
        <w:t xml:space="preserve"> </w:t>
      </w:r>
      <w:r>
        <w:t xml:space="preserve"> </w:t>
      </w:r>
      <w:r>
        <w:rPr>
          <w:rFonts w:hint="eastAsia"/>
        </w:rPr>
        <w:t>检测单位应具有相应的检测资质，检测所用的仪器设备应有产品合格证及有效的检定证书。</w:t>
      </w:r>
    </w:p>
    <w:p>
      <w:pPr>
        <w:rPr>
          <w:rFonts w:eastAsia="黑体"/>
          <w:color w:val="FF0000"/>
        </w:rPr>
        <w:sectPr>
          <w:pgSz w:w="7938" w:h="11510"/>
          <w:pgMar w:top="1083" w:right="1009" w:bottom="1083" w:left="1009" w:header="851" w:footer="992" w:gutter="0"/>
          <w:cols w:space="425" w:num="1"/>
          <w:docGrid w:type="lines" w:linePitch="312" w:charSpace="0"/>
        </w:sectPr>
      </w:pPr>
    </w:p>
    <w:p>
      <w:pPr>
        <w:pStyle w:val="2"/>
      </w:pPr>
      <w:bookmarkStart w:id="50" w:name="_Toc515373875"/>
      <w:bookmarkStart w:id="51" w:name="_Toc521503660"/>
      <w:bookmarkStart w:id="52" w:name="_Toc515287971"/>
      <w:bookmarkStart w:id="53" w:name="_Toc522031093"/>
      <w:bookmarkStart w:id="54" w:name="_Toc6325042"/>
      <w:bookmarkStart w:id="55" w:name="_Toc523216188"/>
      <w:bookmarkStart w:id="56" w:name="_Toc6318061"/>
      <w:bookmarkStart w:id="57" w:name="_Toc523216646"/>
      <w:bookmarkStart w:id="58" w:name="_Toc522627934"/>
      <w:bookmarkStart w:id="59" w:name="_Toc17273646"/>
      <w:bookmarkStart w:id="60" w:name="_Toc12886295"/>
      <w:bookmarkStart w:id="61" w:name="_Toc8736823"/>
      <w:bookmarkStart w:id="62" w:name="_Toc12959517"/>
      <w:r>
        <w:rPr>
          <w:b/>
        </w:rPr>
        <w:t>4</w:t>
      </w:r>
      <w:r>
        <w:t xml:space="preserve">  </w:t>
      </w:r>
      <w:bookmarkEnd w:id="50"/>
      <w:bookmarkEnd w:id="51"/>
      <w:bookmarkEnd w:id="52"/>
      <w:r>
        <w:rPr>
          <w:rFonts w:hint="eastAsia"/>
        </w:rPr>
        <w:t>材料</w:t>
      </w:r>
      <w:bookmarkEnd w:id="53"/>
      <w:bookmarkEnd w:id="54"/>
      <w:bookmarkEnd w:id="55"/>
      <w:bookmarkEnd w:id="56"/>
      <w:bookmarkEnd w:id="57"/>
      <w:bookmarkEnd w:id="58"/>
      <w:r>
        <w:rPr>
          <w:rFonts w:hint="eastAsia"/>
        </w:rPr>
        <w:t>检测</w:t>
      </w:r>
      <w:bookmarkEnd w:id="59"/>
      <w:bookmarkEnd w:id="60"/>
      <w:bookmarkEnd w:id="61"/>
      <w:bookmarkEnd w:id="62"/>
      <w:r>
        <w:fldChar w:fldCharType="begin"/>
      </w:r>
      <w:r>
        <w:instrText xml:space="preserve"> </w:instrText>
      </w:r>
      <w:r>
        <w:rPr>
          <w:rFonts w:hint="eastAsia"/>
        </w:rPr>
        <w:instrText xml:space="preserve">TC  "</w:instrText>
      </w:r>
      <w:bookmarkStart w:id="63" w:name="_Toc17274686"/>
      <w:r>
        <w:rPr>
          <w:rFonts w:hint="eastAsia"/>
        </w:rPr>
        <w:instrText xml:space="preserve">4  Material Inspection</w:instrText>
      </w:r>
      <w:bookmarkEnd w:id="63"/>
      <w:r>
        <w:rPr>
          <w:rFonts w:hint="eastAsia"/>
        </w:rPr>
        <w:instrText xml:space="preserve">" \l 1</w:instrText>
      </w:r>
      <w:r>
        <w:instrText xml:space="preserve"> </w:instrText>
      </w:r>
      <w:r>
        <w:fldChar w:fldCharType="end"/>
      </w:r>
    </w:p>
    <w:p>
      <w:pPr>
        <w:pStyle w:val="3"/>
      </w:pPr>
      <w:bookmarkStart w:id="64" w:name="_Toc12886296"/>
      <w:bookmarkStart w:id="65" w:name="_Toc6325043"/>
      <w:bookmarkStart w:id="66" w:name="_Toc6318062"/>
      <w:bookmarkStart w:id="67" w:name="_Toc8736824"/>
      <w:bookmarkStart w:id="68" w:name="_Toc17273647"/>
      <w:bookmarkStart w:id="69" w:name="_Toc12959518"/>
      <w:bookmarkStart w:id="70" w:name="_Toc515373880"/>
      <w:bookmarkStart w:id="71" w:name="_Toc515287976"/>
      <w:r>
        <w:rPr>
          <w:rFonts w:hint="eastAsia"/>
          <w:b/>
        </w:rPr>
        <w:t>4.1</w:t>
      </w:r>
      <w:r>
        <w:t xml:space="preserve">  </w:t>
      </w:r>
      <w:r>
        <w:rPr>
          <w:rFonts w:hint="eastAsia"/>
        </w:rPr>
        <w:t>一般规定</w:t>
      </w:r>
      <w:bookmarkEnd w:id="64"/>
      <w:bookmarkEnd w:id="65"/>
      <w:bookmarkEnd w:id="66"/>
      <w:bookmarkEnd w:id="67"/>
      <w:bookmarkEnd w:id="68"/>
      <w:bookmarkEnd w:id="69"/>
      <w:r>
        <w:fldChar w:fldCharType="begin"/>
      </w:r>
      <w:r>
        <w:instrText xml:space="preserve"> </w:instrText>
      </w:r>
      <w:r>
        <w:rPr>
          <w:rFonts w:hint="eastAsia"/>
        </w:rPr>
        <w:instrText xml:space="preserve">TC  "</w:instrText>
      </w:r>
      <w:bookmarkStart w:id="72" w:name="_Toc17274687"/>
      <w:r>
        <w:rPr>
          <w:rFonts w:hint="eastAsia"/>
        </w:rPr>
        <w:instrText xml:space="preserve">4.1  General Requirements</w:instrText>
      </w:r>
      <w:bookmarkEnd w:id="72"/>
      <w:r>
        <w:rPr>
          <w:rFonts w:hint="eastAsia"/>
        </w:rPr>
        <w:instrText xml:space="preserve">" \l 2</w:instrText>
      </w:r>
      <w:r>
        <w:instrText xml:space="preserve"> </w:instrText>
      </w:r>
      <w:r>
        <w:fldChar w:fldCharType="end"/>
      </w:r>
    </w:p>
    <w:p>
      <w:pPr>
        <w:rPr>
          <w:color w:val="000000" w:themeColor="text1"/>
          <w14:textFill>
            <w14:solidFill>
              <w14:schemeClr w14:val="tx1"/>
            </w14:solidFill>
          </w14:textFill>
        </w:rPr>
      </w:pPr>
      <w:r>
        <w:rPr>
          <w:b/>
          <w:color w:val="000000" w:themeColor="text1"/>
          <w14:textFill>
            <w14:solidFill>
              <w14:schemeClr w14:val="tx1"/>
            </w14:solidFill>
          </w14:textFill>
        </w:rPr>
        <w:t>4.1.1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本章主要适用于</w:t>
      </w:r>
      <w:r>
        <w:rPr>
          <w:rFonts w:hint="eastAsia"/>
        </w:rPr>
        <w:t>装配式混凝土结构工程</w:t>
      </w:r>
      <w:r>
        <w:rPr>
          <w:rFonts w:hint="eastAsia"/>
          <w:color w:val="000000" w:themeColor="text1"/>
          <w14:textFill>
            <w14:solidFill>
              <w14:schemeClr w14:val="tx1"/>
            </w14:solidFill>
          </w14:textFill>
        </w:rPr>
        <w:t>安装施工过程中使用材料的检测。</w:t>
      </w:r>
    </w:p>
    <w:p>
      <w:pPr>
        <w:rPr>
          <w:color w:val="000000" w:themeColor="text1"/>
          <w:highlight w:val="yellow"/>
          <w14:textFill>
            <w14:solidFill>
              <w14:schemeClr w14:val="tx1"/>
            </w14:solidFill>
          </w14:textFill>
        </w:rPr>
      </w:pPr>
      <w:r>
        <w:rPr>
          <w:b/>
          <w:color w:val="000000" w:themeColor="text1"/>
          <w14:textFill>
            <w14:solidFill>
              <w14:schemeClr w14:val="tx1"/>
            </w14:solidFill>
          </w14:textFill>
        </w:rPr>
        <w:t>4.1.2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材料检测主要包括混凝土、钢筋及钢材、连接材料、其它材料等项目。</w:t>
      </w:r>
    </w:p>
    <w:p>
      <w:pPr>
        <w:pStyle w:val="3"/>
      </w:pPr>
      <w:bookmarkStart w:id="73" w:name="_Toc6318063"/>
      <w:bookmarkStart w:id="74" w:name="_Toc6325044"/>
      <w:bookmarkStart w:id="75" w:name="_Toc12886297"/>
      <w:bookmarkStart w:id="76" w:name="_Toc8736825"/>
      <w:bookmarkStart w:id="77" w:name="_Toc17273648"/>
      <w:bookmarkStart w:id="78" w:name="_Toc12959519"/>
      <w:r>
        <w:rPr>
          <w:b/>
        </w:rPr>
        <w:t>4.2</w:t>
      </w:r>
      <w:r>
        <w:t xml:space="preserve">  混凝土</w:t>
      </w:r>
      <w:bookmarkEnd w:id="73"/>
      <w:bookmarkEnd w:id="74"/>
      <w:bookmarkEnd w:id="75"/>
      <w:bookmarkEnd w:id="76"/>
      <w:bookmarkEnd w:id="77"/>
      <w:bookmarkEnd w:id="78"/>
      <w:r>
        <w:fldChar w:fldCharType="begin"/>
      </w:r>
      <w:r>
        <w:instrText xml:space="preserve"> TC  "</w:instrText>
      </w:r>
      <w:bookmarkStart w:id="79" w:name="_Toc17274688"/>
      <w:r>
        <w:instrText xml:space="preserve">4.2  Concrete</w:instrText>
      </w:r>
      <w:bookmarkEnd w:id="79"/>
      <w:r>
        <w:instrText xml:space="preserve">" \l 2 </w:instrText>
      </w:r>
      <w:r>
        <w:fldChar w:fldCharType="end"/>
      </w:r>
    </w:p>
    <w:p>
      <w:r>
        <w:rPr>
          <w:b/>
        </w:rPr>
        <w:t>4.2.1</w:t>
      </w:r>
      <w:r>
        <w:t xml:space="preserve">  </w:t>
      </w:r>
      <w:r>
        <w:rPr>
          <w:rFonts w:hint="eastAsia"/>
        </w:rPr>
        <w:t>现场施工用现浇混凝土中原材料，包括水泥、粗细骨料、外加剂、掺合料等的检测方法应符合现行国家及行业标准的规定。</w:t>
      </w:r>
    </w:p>
    <w:p>
      <w:r>
        <w:rPr>
          <w:b/>
        </w:rPr>
        <w:t>4.2.2</w:t>
      </w:r>
      <w:r>
        <w:t xml:space="preserve">  </w:t>
      </w:r>
      <w:r>
        <w:rPr>
          <w:rFonts w:hint="eastAsia"/>
        </w:rPr>
        <w:t>混凝土力学性能检测方法应符合现行国家标准《混凝土物理力学性能试验方法标准》GB/T</w:t>
      </w:r>
      <w:r>
        <w:t xml:space="preserve"> </w:t>
      </w:r>
      <w:r>
        <w:rPr>
          <w:rFonts w:hint="eastAsia"/>
        </w:rPr>
        <w:t>50081的规定。</w:t>
      </w:r>
    </w:p>
    <w:p>
      <w:r>
        <w:rPr>
          <w:rFonts w:hint="eastAsia"/>
          <w:b/>
        </w:rPr>
        <w:t>4.2.3</w:t>
      </w:r>
      <w:r>
        <w:t xml:space="preserve">  </w:t>
      </w:r>
      <w:r>
        <w:rPr>
          <w:rFonts w:hint="eastAsia"/>
        </w:rPr>
        <w:t>混凝土长期性能和耐久性能检测方法应符合现行国家标准《普通混凝土长期性能和耐久性能试验方法标准》GB/T</w:t>
      </w:r>
      <w:r>
        <w:t xml:space="preserve"> </w:t>
      </w:r>
      <w:r>
        <w:rPr>
          <w:rFonts w:hint="eastAsia"/>
        </w:rPr>
        <w:t>50082的规定。</w:t>
      </w:r>
    </w:p>
    <w:p>
      <w:r>
        <w:rPr>
          <w:b/>
        </w:rPr>
        <w:t>4.2.4</w:t>
      </w:r>
      <w:r>
        <w:t xml:space="preserve">  </w:t>
      </w:r>
      <w:r>
        <w:rPr>
          <w:rFonts w:hint="eastAsia"/>
        </w:rPr>
        <w:t>混凝土中氯离子含量的检测方法应符合现行行业标准《混凝土中氯离子含量检测技术规程》JGJ/T 322的规定。</w:t>
      </w:r>
    </w:p>
    <w:p>
      <w:pPr>
        <w:pStyle w:val="3"/>
      </w:pPr>
      <w:bookmarkStart w:id="80" w:name="_Toc17273649"/>
      <w:bookmarkStart w:id="81" w:name="_Toc6325045"/>
      <w:bookmarkStart w:id="82" w:name="_Toc6318064"/>
      <w:bookmarkStart w:id="83" w:name="_Toc12886298"/>
      <w:bookmarkStart w:id="84" w:name="_Toc8736826"/>
      <w:bookmarkStart w:id="85" w:name="_Toc12959520"/>
      <w:r>
        <w:rPr>
          <w:rFonts w:hint="eastAsia"/>
          <w:b/>
        </w:rPr>
        <w:t>4.3</w:t>
      </w:r>
      <w:r>
        <w:t xml:space="preserve">  </w:t>
      </w:r>
      <w:r>
        <w:rPr>
          <w:rFonts w:hint="eastAsia"/>
        </w:rPr>
        <w:t>钢筋及钢材</w:t>
      </w:r>
      <w:bookmarkEnd w:id="80"/>
      <w:bookmarkEnd w:id="81"/>
      <w:bookmarkEnd w:id="82"/>
      <w:bookmarkEnd w:id="83"/>
      <w:bookmarkEnd w:id="84"/>
      <w:bookmarkEnd w:id="85"/>
      <w:r>
        <w:fldChar w:fldCharType="begin"/>
      </w:r>
      <w:r>
        <w:instrText xml:space="preserve"> </w:instrText>
      </w:r>
      <w:r>
        <w:rPr>
          <w:rFonts w:hint="eastAsia"/>
        </w:rPr>
        <w:instrText xml:space="preserve">TC  "</w:instrText>
      </w:r>
      <w:bookmarkStart w:id="86" w:name="_Toc17274689"/>
      <w:r>
        <w:rPr>
          <w:rFonts w:hint="eastAsia"/>
        </w:rPr>
        <w:instrText xml:space="preserve">4.3  Reinforcement and Steel</w:instrText>
      </w:r>
      <w:bookmarkEnd w:id="86"/>
      <w:r>
        <w:rPr>
          <w:rFonts w:hint="eastAsia"/>
        </w:rPr>
        <w:instrText xml:space="preserve">" \l 2</w:instrText>
      </w:r>
      <w:r>
        <w:instrText xml:space="preserve"> </w:instrText>
      </w:r>
      <w:r>
        <w:fldChar w:fldCharType="end"/>
      </w:r>
    </w:p>
    <w:p>
      <w:r>
        <w:rPr>
          <w:rFonts w:hint="eastAsia"/>
          <w:b/>
        </w:rPr>
        <w:t>4.3.1</w:t>
      </w:r>
      <w:r>
        <w:rPr>
          <w:rFonts w:hint="eastAsia"/>
        </w:rPr>
        <w:t xml:space="preserve"> </w:t>
      </w:r>
      <w:r>
        <w:t xml:space="preserve"> </w:t>
      </w:r>
      <w:r>
        <w:rPr>
          <w:rFonts w:hint="eastAsia"/>
        </w:rPr>
        <w:t>钢筋力学性能、工艺性能和重量偏差等项目的检测方法应符合现行国家标准《钢筋混凝土用钢 第1部分：热轧光圆钢筋》GB/T 1499.1、《钢筋混凝土用钢 第2部分：热轧带肋钢筋》GB/T 1499.2、《冷轧带肋钢筋》GB/T 13788等的规定。</w:t>
      </w:r>
    </w:p>
    <w:p>
      <w:r>
        <w:rPr>
          <w:rFonts w:hint="eastAsia"/>
          <w:b/>
        </w:rPr>
        <w:t>4.3.2</w:t>
      </w:r>
      <w:r>
        <w:t xml:space="preserve">  </w:t>
      </w:r>
      <w:r>
        <w:rPr>
          <w:rFonts w:hint="eastAsia"/>
        </w:rPr>
        <w:t>钢铰线力学性能检测方法应符合现行国家标准《预应力混凝土用钢绞线》GB/T</w:t>
      </w:r>
      <w:r>
        <w:t xml:space="preserve"> </w:t>
      </w:r>
      <w:r>
        <w:rPr>
          <w:rFonts w:hint="eastAsia"/>
        </w:rPr>
        <w:t>5224的规定，锚具、夹具和连接器性能检验应符合现行国家标准《预应力筋用锚具、夹具和连接器》GB/T 14370的规定。</w:t>
      </w:r>
    </w:p>
    <w:p>
      <w:pPr>
        <w:rPr>
          <w:highlight w:val="yellow"/>
        </w:rPr>
      </w:pPr>
      <w:r>
        <w:rPr>
          <w:rFonts w:hint="eastAsia"/>
          <w:b/>
        </w:rPr>
        <w:t>4.3.3</w:t>
      </w:r>
      <w:r>
        <w:rPr>
          <w:rFonts w:hint="eastAsia"/>
        </w:rPr>
        <w:t xml:space="preserve">  钢材力学性能检测方法应符合现行国家标准《碳素结构钢》GB/T 700和《低合金高强度结构钢》GB/T 1591等的规定。</w:t>
      </w:r>
    </w:p>
    <w:p>
      <w:pPr>
        <w:pStyle w:val="3"/>
      </w:pPr>
      <w:bookmarkStart w:id="87" w:name="_Toc6325046"/>
      <w:bookmarkStart w:id="88" w:name="_Toc6318065"/>
      <w:bookmarkStart w:id="89" w:name="_Toc17273650"/>
      <w:bookmarkStart w:id="90" w:name="_Toc12886299"/>
      <w:bookmarkStart w:id="91" w:name="_Toc8736827"/>
      <w:bookmarkStart w:id="92" w:name="_Toc12959521"/>
      <w:r>
        <w:rPr>
          <w:rFonts w:hint="eastAsia"/>
          <w:b/>
        </w:rPr>
        <w:t>4.4</w:t>
      </w:r>
      <w:r>
        <w:t xml:space="preserve">  </w:t>
      </w:r>
      <w:r>
        <w:rPr>
          <w:rFonts w:hint="eastAsia"/>
        </w:rPr>
        <w:t>连接材料</w:t>
      </w:r>
      <w:bookmarkEnd w:id="87"/>
      <w:bookmarkEnd w:id="88"/>
      <w:bookmarkEnd w:id="89"/>
      <w:bookmarkEnd w:id="90"/>
      <w:bookmarkEnd w:id="91"/>
      <w:bookmarkEnd w:id="92"/>
      <w:r>
        <w:fldChar w:fldCharType="begin"/>
      </w:r>
      <w:r>
        <w:instrText xml:space="preserve"> </w:instrText>
      </w:r>
      <w:r>
        <w:rPr>
          <w:rFonts w:hint="eastAsia"/>
        </w:rPr>
        <w:instrText xml:space="preserve">TC  "</w:instrText>
      </w:r>
      <w:bookmarkStart w:id="93" w:name="_Toc17274690"/>
      <w:r>
        <w:rPr>
          <w:rFonts w:hint="eastAsia"/>
        </w:rPr>
        <w:instrText xml:space="preserve">4.4  Interconnect Material</w:instrText>
      </w:r>
      <w:r>
        <w:instrText xml:space="preserve">s</w:instrText>
      </w:r>
      <w:bookmarkEnd w:id="93"/>
      <w:r>
        <w:rPr>
          <w:rFonts w:hint="eastAsia"/>
        </w:rPr>
        <w:instrText xml:space="preserve">" \l 2</w:instrText>
      </w:r>
      <w:r>
        <w:instrText xml:space="preserve"> </w:instrText>
      </w:r>
      <w:r>
        <w:fldChar w:fldCharType="end"/>
      </w:r>
    </w:p>
    <w:p>
      <w:r>
        <w:rPr>
          <w:rFonts w:hint="eastAsia"/>
          <w:b/>
        </w:rPr>
        <w:t>4.4.1</w:t>
      </w:r>
      <w:r>
        <w:rPr>
          <w:rFonts w:hint="eastAsia"/>
        </w:rPr>
        <w:t xml:space="preserve"> </w:t>
      </w:r>
      <w:r>
        <w:t xml:space="preserve"> </w:t>
      </w:r>
      <w:r>
        <w:rPr>
          <w:rFonts w:hint="eastAsia"/>
        </w:rPr>
        <w:t>装配式混凝土结构连接材料包括灌浆料、座浆料、钢筋连接用灌浆套筒、钢筋机械连接用套筒、波纹管、钢筋锚固板、紧固件、焊接材料等。</w:t>
      </w:r>
    </w:p>
    <w:p>
      <w:r>
        <w:rPr>
          <w:rFonts w:hint="eastAsia"/>
          <w:b/>
        </w:rPr>
        <w:t>4.4.2</w:t>
      </w:r>
      <w:r>
        <w:rPr>
          <w:rFonts w:hint="eastAsia"/>
        </w:rPr>
        <w:t xml:space="preserve"> </w:t>
      </w:r>
      <w:r>
        <w:t xml:space="preserve"> </w:t>
      </w:r>
      <w:r>
        <w:rPr>
          <w:rFonts w:hint="eastAsia"/>
        </w:rPr>
        <w:t>钢筋连接用套筒灌浆料进场检测项目应包括3</w:t>
      </w:r>
      <w:r>
        <w:t>0</w:t>
      </w:r>
      <w:r>
        <w:rPr>
          <w:rFonts w:hint="eastAsia"/>
        </w:rPr>
        <w:t>min流动度、泌水率、抗压强度（3d、2</w:t>
      </w:r>
      <w:r>
        <w:t>8</w:t>
      </w:r>
      <w:r>
        <w:rPr>
          <w:rFonts w:hint="eastAsia"/>
        </w:rPr>
        <w:t>d）和竖向膨胀率（3h、2</w:t>
      </w:r>
      <w:r>
        <w:t>4</w:t>
      </w:r>
      <w:r>
        <w:rPr>
          <w:rFonts w:hint="eastAsia"/>
        </w:rPr>
        <w:t>h与3h差值），</w:t>
      </w:r>
      <w:bookmarkStart w:id="94" w:name="_Hlk23925563"/>
      <w:r>
        <w:rPr>
          <w:rFonts w:hint="eastAsia"/>
        </w:rPr>
        <w:t>检测方法应符合现行行业标准《钢筋连接用套筒灌浆料》JG/T 408和《钢筋套筒灌浆连接应用技术规程》JGJ</w:t>
      </w:r>
      <w:r>
        <w:t xml:space="preserve"> </w:t>
      </w:r>
      <w:r>
        <w:rPr>
          <w:rFonts w:hint="eastAsia"/>
        </w:rPr>
        <w:t>355的规定</w:t>
      </w:r>
      <w:bookmarkEnd w:id="94"/>
      <w:r>
        <w:rPr>
          <w:rFonts w:hint="eastAsia"/>
        </w:rPr>
        <w:t>。</w:t>
      </w:r>
    </w:p>
    <w:p>
      <w:r>
        <w:rPr>
          <w:rFonts w:hint="eastAsia"/>
          <w:b/>
        </w:rPr>
        <w:t>4.4.3</w:t>
      </w:r>
      <w:r>
        <w:rPr>
          <w:rFonts w:hint="eastAsia"/>
        </w:rPr>
        <w:t xml:space="preserve"> </w:t>
      </w:r>
      <w:r>
        <w:t xml:space="preserve"> </w:t>
      </w:r>
      <w:r>
        <w:rPr>
          <w:rFonts w:hint="eastAsia"/>
        </w:rPr>
        <w:t>浆锚搭接灌浆料进场检测项目应包括材料性能和净含量，检测方法应符合现行国家标准《水泥基灌浆材料应用技术规范》GB/T 50448的规定。</w:t>
      </w:r>
    </w:p>
    <w:p>
      <w:r>
        <w:rPr>
          <w:b/>
        </w:rPr>
        <w:t xml:space="preserve">4.4.4 </w:t>
      </w:r>
      <w:r>
        <w:t xml:space="preserve"> </w:t>
      </w:r>
      <w:r>
        <w:rPr>
          <w:rFonts w:hint="eastAsia"/>
        </w:rPr>
        <w:t>座浆料抗压强</w:t>
      </w:r>
      <w:r>
        <w:rPr>
          <w:rFonts w:hint="eastAsia"/>
          <w:color w:val="000000" w:themeColor="text1"/>
          <w14:textFill>
            <w14:solidFill>
              <w14:schemeClr w14:val="tx1"/>
            </w14:solidFill>
          </w14:textFill>
        </w:rPr>
        <w:t>度</w:t>
      </w:r>
      <w:r>
        <w:rPr>
          <w:rFonts w:hint="eastAsia"/>
        </w:rPr>
        <w:t>检测方法应符合现行行业标准《建筑砂浆基本性能试验方法标准》JGJ/T 70的规定。</w:t>
      </w:r>
    </w:p>
    <w:p>
      <w:r>
        <w:rPr>
          <w:b/>
        </w:rPr>
        <w:t>4.4.5</w:t>
      </w:r>
      <w:r>
        <w:t xml:space="preserve">  </w:t>
      </w:r>
      <w:r>
        <w:rPr>
          <w:rFonts w:hint="eastAsia"/>
        </w:rPr>
        <w:t>钢筋连接用灌浆套筒外观质量、标识和尺寸偏差</w:t>
      </w:r>
      <w:r>
        <w:rPr>
          <w:rFonts w:hint="eastAsia"/>
          <w:strike/>
        </w:rPr>
        <w:t>等</w:t>
      </w:r>
      <w:r>
        <w:rPr>
          <w:rFonts w:hint="eastAsia"/>
        </w:rPr>
        <w:t>的检测方法应符合现行行业标准《钢筋连接用灌浆套筒》JG/T 398和《钢筋套筒灌浆连接应用技术规程》JGJ</w:t>
      </w:r>
      <w:r>
        <w:t xml:space="preserve"> </w:t>
      </w:r>
      <w:r>
        <w:rPr>
          <w:rFonts w:hint="eastAsia"/>
        </w:rPr>
        <w:t>355的规定；</w:t>
      </w:r>
    </w:p>
    <w:p>
      <w:r>
        <w:rPr>
          <w:b/>
        </w:rPr>
        <w:t>4.4.6</w:t>
      </w:r>
      <w:r>
        <w:t xml:space="preserve">  </w:t>
      </w:r>
      <w:r>
        <w:rPr>
          <w:rFonts w:hint="eastAsia"/>
        </w:rPr>
        <w:t>钢筋机械连接用套筒的标记与尺寸、抗拉强度等的检测方法应符合现行行业标准《钢筋机械连接用套筒》JG/T 163的规定。</w:t>
      </w:r>
      <w:r>
        <w:rPr>
          <w:rFonts w:hint="eastAsia"/>
          <w:b/>
          <w:bCs/>
        </w:rPr>
        <w:t>4.4.7</w:t>
      </w:r>
      <w:r>
        <w:t xml:space="preserve">  </w:t>
      </w:r>
      <w:r>
        <w:rPr>
          <w:rFonts w:hint="eastAsia"/>
        </w:rPr>
        <w:t>用于钢筋浆锚搭接连接的镀锌金属波纹管力学性能检测方法应符合现行行业标准《预应力混凝土用金属波纹管》JG</w:t>
      </w:r>
      <w:r>
        <w:t xml:space="preserve"> </w:t>
      </w:r>
      <w:r>
        <w:rPr>
          <w:rFonts w:hint="eastAsia"/>
        </w:rPr>
        <w:t>225的有关规定；</w:t>
      </w:r>
    </w:p>
    <w:p>
      <w:r>
        <w:rPr>
          <w:b/>
        </w:rPr>
        <w:t>4.4.8</w:t>
      </w:r>
      <w:r>
        <w:t xml:space="preserve">  </w:t>
      </w:r>
      <w:r>
        <w:rPr>
          <w:rFonts w:hint="eastAsia"/>
        </w:rPr>
        <w:t>钢筋锚固板的检测方法应符合现行行业标准《钢筋锚固板应用技术规程》JGJ 256的规定。</w:t>
      </w:r>
    </w:p>
    <w:p>
      <w:r>
        <w:rPr>
          <w:b/>
        </w:rPr>
        <w:t>4.4.9</w:t>
      </w:r>
      <w:r>
        <w:t xml:space="preserve">  </w:t>
      </w:r>
      <w:r>
        <w:rPr>
          <w:rFonts w:hint="eastAsia"/>
        </w:rPr>
        <w:t>紧固件、焊接材料的检测方法应符合现行国家标准《钢结构工程质量施工验收规范》GB 50205的规定。</w:t>
      </w:r>
    </w:p>
    <w:p>
      <w:pPr>
        <w:pStyle w:val="3"/>
      </w:pPr>
      <w:bookmarkStart w:id="95" w:name="_Toc17273651"/>
      <w:bookmarkStart w:id="96" w:name="_Toc8736828"/>
      <w:bookmarkStart w:id="97" w:name="_Toc12959522"/>
      <w:bookmarkStart w:id="98" w:name="_Toc12886300"/>
      <w:bookmarkStart w:id="99" w:name="_Toc6318066"/>
      <w:bookmarkStart w:id="100" w:name="_Toc6325047"/>
      <w:r>
        <w:rPr>
          <w:rFonts w:hint="eastAsia"/>
          <w:b/>
        </w:rPr>
        <w:t>4.5</w:t>
      </w:r>
      <w:r>
        <w:t xml:space="preserve">  </w:t>
      </w:r>
      <w:r>
        <w:rPr>
          <w:rFonts w:hint="eastAsia"/>
        </w:rPr>
        <w:t>其它材料</w:t>
      </w:r>
      <w:bookmarkEnd w:id="95"/>
      <w:bookmarkEnd w:id="96"/>
      <w:bookmarkEnd w:id="97"/>
      <w:bookmarkEnd w:id="98"/>
      <w:bookmarkEnd w:id="99"/>
      <w:bookmarkEnd w:id="100"/>
      <w:r>
        <w:fldChar w:fldCharType="begin"/>
      </w:r>
      <w:r>
        <w:instrText xml:space="preserve"> </w:instrText>
      </w:r>
      <w:r>
        <w:rPr>
          <w:rFonts w:hint="eastAsia"/>
        </w:rPr>
        <w:instrText xml:space="preserve">TC  "</w:instrText>
      </w:r>
      <w:bookmarkStart w:id="101" w:name="_Toc17274691"/>
      <w:r>
        <w:rPr>
          <w:rFonts w:hint="eastAsia"/>
        </w:rPr>
        <w:instrText xml:space="preserve">4.5  Other Material</w:instrText>
      </w:r>
      <w:r>
        <w:instrText xml:space="preserve">s</w:instrText>
      </w:r>
      <w:bookmarkEnd w:id="101"/>
      <w:r>
        <w:rPr>
          <w:rFonts w:hint="eastAsia"/>
        </w:rPr>
        <w:instrText xml:space="preserve">" \l 2</w:instrText>
      </w:r>
      <w:r>
        <w:instrText xml:space="preserve"> </w:instrText>
      </w:r>
      <w:r>
        <w:fldChar w:fldCharType="end"/>
      </w:r>
    </w:p>
    <w:p>
      <w:r>
        <w:rPr>
          <w:rFonts w:hint="eastAsia"/>
          <w:b/>
        </w:rPr>
        <w:t xml:space="preserve">4.5.1 </w:t>
      </w:r>
      <w:r>
        <w:rPr>
          <w:b/>
        </w:rPr>
        <w:t xml:space="preserve"> </w:t>
      </w:r>
      <w:r>
        <w:rPr>
          <w:rFonts w:hint="eastAsia"/>
        </w:rPr>
        <w:t>硅酮、聚氨酯、聚硫建筑密封胶等防水材料检测方法应符合现行国家标准《硅酮和改性硅酮建筑密封胶》GB/T 14683、《聚氨酯建筑密封胶》JC/T 482和《聚硫建筑密封胶》JC/T 483等的规定。</w:t>
      </w:r>
    </w:p>
    <w:p>
      <w:pPr>
        <w:rPr>
          <w:b/>
        </w:rPr>
      </w:pPr>
      <w:r>
        <w:rPr>
          <w:rFonts w:hint="eastAsia"/>
          <w:b/>
        </w:rPr>
        <w:t>4.5.2</w:t>
      </w:r>
      <w:r>
        <w:rPr>
          <w:b/>
        </w:rPr>
        <w:t xml:space="preserve">  </w:t>
      </w:r>
      <w:r>
        <w:rPr>
          <w:rFonts w:hint="eastAsia"/>
        </w:rPr>
        <w:t>复合外墙板中的保温隔热材料和夹心外墙板接缝处填充用保温隔热材料的燃烧性能检测方法应符合现行国家标准《建筑材料不燃性试验方法》GB/T 5464、《建筑材料及制品的燃烧性能 燃烧热值的测定》GB/T 14402、《建筑材料或制品的单体燃烧试验》GB/T 20284等的规定。</w:t>
      </w:r>
    </w:p>
    <w:p>
      <w:r>
        <w:rPr>
          <w:rFonts w:hint="eastAsia"/>
          <w:b/>
        </w:rPr>
        <w:t>4.5.3</w:t>
      </w:r>
      <w:r>
        <w:rPr>
          <w:b/>
        </w:rPr>
        <w:t xml:space="preserve">  </w:t>
      </w:r>
      <w:r>
        <w:rPr>
          <w:rFonts w:hint="eastAsia"/>
        </w:rPr>
        <w:t>外墙板保温隔热材料性能的检测方法应符合现行行业标准《胶粉聚苯颗粒外墙外保温系统材料》JG</w:t>
      </w:r>
      <w:r>
        <w:t xml:space="preserve">/T </w:t>
      </w:r>
      <w:r>
        <w:rPr>
          <w:rFonts w:hint="eastAsia"/>
        </w:rPr>
        <w:t>158、《膨胀聚苯板薄抹灰外墙外保温系统》JG</w:t>
      </w:r>
      <w:r>
        <w:t xml:space="preserve"> </w:t>
      </w:r>
      <w:r>
        <w:rPr>
          <w:rFonts w:hint="eastAsia"/>
        </w:rPr>
        <w:t>149等的规定。</w:t>
      </w:r>
    </w:p>
    <w:p>
      <w:pPr>
        <w:sectPr>
          <w:pgSz w:w="7938" w:h="11510"/>
          <w:pgMar w:top="1083" w:right="1009" w:bottom="1083" w:left="1009" w:header="851" w:footer="992" w:gutter="0"/>
          <w:cols w:space="425" w:num="1"/>
          <w:docGrid w:type="lines" w:linePitch="312" w:charSpace="0"/>
        </w:sectPr>
      </w:pPr>
    </w:p>
    <w:p>
      <w:pPr>
        <w:pStyle w:val="2"/>
      </w:pPr>
      <w:bookmarkStart w:id="102" w:name="_Toc521503664"/>
      <w:bookmarkStart w:id="103" w:name="_Toc522031094"/>
      <w:bookmarkStart w:id="104" w:name="_Toc6318067"/>
      <w:bookmarkStart w:id="105" w:name="_Toc523216193"/>
      <w:bookmarkStart w:id="106" w:name="_Toc522627939"/>
      <w:bookmarkStart w:id="107" w:name="_Toc523216651"/>
      <w:bookmarkStart w:id="108" w:name="_Toc6325048"/>
      <w:bookmarkStart w:id="109" w:name="_Toc12959523"/>
      <w:bookmarkStart w:id="110" w:name="_Toc8736829"/>
      <w:bookmarkStart w:id="111" w:name="_Toc12886301"/>
      <w:bookmarkStart w:id="112" w:name="_Toc17273652"/>
      <w:r>
        <w:rPr>
          <w:rFonts w:hint="eastAsia"/>
        </w:rPr>
        <w:t>5</w:t>
      </w:r>
      <w:r>
        <w:t xml:space="preserve">  </w:t>
      </w:r>
      <w:bookmarkEnd w:id="102"/>
      <w:r>
        <w:rPr>
          <w:rFonts w:hint="eastAsia"/>
        </w:rPr>
        <w:t>预制构件进场</w:t>
      </w:r>
      <w:bookmarkEnd w:id="103"/>
      <w:bookmarkEnd w:id="104"/>
      <w:bookmarkEnd w:id="105"/>
      <w:bookmarkEnd w:id="106"/>
      <w:bookmarkEnd w:id="107"/>
      <w:bookmarkEnd w:id="108"/>
      <w:r>
        <w:rPr>
          <w:rFonts w:hint="eastAsia"/>
        </w:rPr>
        <w:t>检测</w:t>
      </w:r>
      <w:bookmarkEnd w:id="109"/>
      <w:bookmarkEnd w:id="110"/>
      <w:bookmarkEnd w:id="111"/>
      <w:bookmarkEnd w:id="112"/>
      <w:r>
        <w:fldChar w:fldCharType="begin"/>
      </w:r>
      <w:r>
        <w:instrText xml:space="preserve"> </w:instrText>
      </w:r>
      <w:r>
        <w:rPr>
          <w:rFonts w:hint="eastAsia"/>
        </w:rPr>
        <w:instrText xml:space="preserve">TC  "</w:instrText>
      </w:r>
      <w:bookmarkStart w:id="113" w:name="_Toc17274692"/>
      <w:r>
        <w:rPr>
          <w:rFonts w:hint="eastAsia"/>
        </w:rPr>
        <w:instrText xml:space="preserve">5  Approach Check of Precast Concrete Component</w:instrText>
      </w:r>
      <w:bookmarkEnd w:id="113"/>
      <w:r>
        <w:rPr>
          <w:rFonts w:hint="eastAsia"/>
        </w:rPr>
        <w:instrText xml:space="preserve">" \l 1</w:instrText>
      </w:r>
      <w:r>
        <w:instrText xml:space="preserve"> </w:instrText>
      </w:r>
      <w:r>
        <w:fldChar w:fldCharType="end"/>
      </w:r>
    </w:p>
    <w:bookmarkEnd w:id="70"/>
    <w:bookmarkEnd w:id="71"/>
    <w:p>
      <w:pPr>
        <w:pStyle w:val="3"/>
      </w:pPr>
      <w:bookmarkStart w:id="114" w:name="_Toc17273653"/>
      <w:bookmarkStart w:id="115" w:name="_Toc522627940"/>
      <w:bookmarkStart w:id="116" w:name="_Toc522031095"/>
      <w:bookmarkStart w:id="117" w:name="_Toc6325049"/>
      <w:bookmarkStart w:id="118" w:name="_Toc523216652"/>
      <w:bookmarkStart w:id="119" w:name="_Toc523216194"/>
      <w:bookmarkStart w:id="120" w:name="_Toc6318068"/>
      <w:bookmarkStart w:id="121" w:name="_Toc12886302"/>
      <w:bookmarkStart w:id="122" w:name="_Toc8736830"/>
      <w:bookmarkStart w:id="123" w:name="_Toc12959524"/>
      <w:r>
        <w:rPr>
          <w:rFonts w:hint="eastAsia"/>
          <w:b/>
        </w:rPr>
        <w:t>5.1</w:t>
      </w:r>
      <w:r>
        <w:rPr>
          <w:rFonts w:hint="eastAsia"/>
        </w:rPr>
        <w:t xml:space="preserve"> </w:t>
      </w:r>
      <w:r>
        <w:t xml:space="preserve"> </w:t>
      </w:r>
      <w:r>
        <w:rPr>
          <w:rFonts w:hint="eastAsia"/>
        </w:rPr>
        <w:t>一般规定</w:t>
      </w:r>
      <w:bookmarkEnd w:id="114"/>
      <w:bookmarkEnd w:id="115"/>
      <w:bookmarkEnd w:id="116"/>
      <w:bookmarkEnd w:id="117"/>
      <w:bookmarkEnd w:id="118"/>
      <w:bookmarkEnd w:id="119"/>
      <w:bookmarkEnd w:id="120"/>
      <w:bookmarkEnd w:id="121"/>
      <w:bookmarkEnd w:id="122"/>
      <w:bookmarkEnd w:id="123"/>
      <w:r>
        <w:fldChar w:fldCharType="begin"/>
      </w:r>
      <w:r>
        <w:instrText xml:space="preserve"> </w:instrText>
      </w:r>
      <w:r>
        <w:rPr>
          <w:rFonts w:hint="eastAsia"/>
        </w:rPr>
        <w:instrText xml:space="preserve">TC  "</w:instrText>
      </w:r>
      <w:bookmarkStart w:id="124" w:name="_Toc17274693"/>
      <w:r>
        <w:rPr>
          <w:rFonts w:hint="eastAsia"/>
        </w:rPr>
        <w:instrText xml:space="preserve">5.1  General Requirements</w:instrText>
      </w:r>
      <w:bookmarkEnd w:id="124"/>
      <w:r>
        <w:rPr>
          <w:rFonts w:hint="eastAsia"/>
        </w:rPr>
        <w:instrText xml:space="preserve">" \l 2</w:instrText>
      </w:r>
      <w:r>
        <w:instrText xml:space="preserve"> </w:instrText>
      </w:r>
      <w:r>
        <w:fldChar w:fldCharType="end"/>
      </w:r>
    </w:p>
    <w:p>
      <w:r>
        <w:rPr>
          <w:rFonts w:hint="eastAsia"/>
          <w:b/>
        </w:rPr>
        <w:t>5.1.1</w:t>
      </w:r>
      <w:r>
        <w:rPr>
          <w:rFonts w:hint="eastAsia"/>
        </w:rPr>
        <w:t xml:space="preserve"> </w:t>
      </w:r>
      <w:r>
        <w:t xml:space="preserve"> </w:t>
      </w:r>
      <w:r>
        <w:rPr>
          <w:rFonts w:hint="eastAsia"/>
        </w:rPr>
        <w:t>本章适用于进场预制构件质量检测。</w:t>
      </w:r>
    </w:p>
    <w:p>
      <w:r>
        <w:rPr>
          <w:rFonts w:hint="eastAsia"/>
          <w:b/>
        </w:rPr>
        <w:t>5.1.2</w:t>
      </w:r>
      <w:r>
        <w:rPr>
          <w:rFonts w:hint="eastAsia"/>
        </w:rPr>
        <w:t xml:space="preserve"> </w:t>
      </w:r>
      <w:r>
        <w:t xml:space="preserve"> </w:t>
      </w:r>
      <w:r>
        <w:rPr>
          <w:rFonts w:hint="eastAsia"/>
        </w:rPr>
        <w:t>预制构件进场检测可分为混凝土强度、质量缺陷、尺寸偏差、钢筋配置和构件性能等项目。</w:t>
      </w:r>
    </w:p>
    <w:p>
      <w:pPr>
        <w:pStyle w:val="3"/>
      </w:pPr>
      <w:bookmarkStart w:id="125" w:name="_Toc523216195"/>
      <w:bookmarkStart w:id="126" w:name="_Toc522031096"/>
      <w:bookmarkStart w:id="127" w:name="_Toc522627941"/>
      <w:bookmarkStart w:id="128" w:name="_Toc8736831"/>
      <w:bookmarkStart w:id="129" w:name="_Toc6318069"/>
      <w:bookmarkStart w:id="130" w:name="_Toc523216653"/>
      <w:bookmarkStart w:id="131" w:name="_Toc6325050"/>
      <w:bookmarkStart w:id="132" w:name="_Toc12959525"/>
      <w:bookmarkStart w:id="133" w:name="_Toc12886303"/>
      <w:bookmarkStart w:id="134" w:name="_Toc17273654"/>
      <w:r>
        <w:rPr>
          <w:rFonts w:hint="eastAsia"/>
          <w:b/>
        </w:rPr>
        <w:t>5</w:t>
      </w:r>
      <w:r>
        <w:rPr>
          <w:b/>
        </w:rPr>
        <w:t>.2</w:t>
      </w:r>
      <w:r>
        <w:t xml:space="preserve">  混凝土强度</w:t>
      </w:r>
      <w:bookmarkEnd w:id="125"/>
      <w:bookmarkEnd w:id="126"/>
      <w:bookmarkEnd w:id="127"/>
      <w:bookmarkEnd w:id="128"/>
      <w:bookmarkEnd w:id="129"/>
      <w:bookmarkEnd w:id="130"/>
      <w:bookmarkEnd w:id="131"/>
      <w:bookmarkEnd w:id="132"/>
      <w:bookmarkEnd w:id="133"/>
      <w:bookmarkEnd w:id="134"/>
      <w:r>
        <w:fldChar w:fldCharType="begin"/>
      </w:r>
      <w:r>
        <w:instrText xml:space="preserve"> TC  "</w:instrText>
      </w:r>
      <w:bookmarkStart w:id="135" w:name="_Toc17274694"/>
      <w:r>
        <w:instrText xml:space="preserve">5.2  Concrete Strength</w:instrText>
      </w:r>
      <w:bookmarkEnd w:id="135"/>
      <w:r>
        <w:instrText xml:space="preserve">" \l 2 </w:instrText>
      </w:r>
      <w:r>
        <w:fldChar w:fldCharType="end"/>
      </w:r>
    </w:p>
    <w:p>
      <w:r>
        <w:rPr>
          <w:b/>
        </w:rPr>
        <w:t>5.2.1</w:t>
      </w:r>
      <w:r>
        <w:t xml:space="preserve">  </w:t>
      </w:r>
      <w:r>
        <w:rPr>
          <w:rFonts w:hint="eastAsia"/>
        </w:rPr>
        <w:t>预制构件混凝土抗压强度检测可采用</w:t>
      </w:r>
      <w:bookmarkStart w:id="136" w:name="_Hlk522272083"/>
      <w:r>
        <w:rPr>
          <w:rFonts w:hint="eastAsia"/>
        </w:rPr>
        <w:t>回弹法、超声回弹综合法</w:t>
      </w:r>
      <w:bookmarkEnd w:id="136"/>
      <w:r>
        <w:rPr>
          <w:rFonts w:hint="eastAsia"/>
        </w:rPr>
        <w:t>、钻芯法或拉脱法等。采用回弹法时，应符合现行行业标准《回弹法检测混凝土抗压强度技术规程》</w:t>
      </w:r>
      <w:r>
        <w:t>JGJ/T 23</w:t>
      </w:r>
      <w:r>
        <w:rPr>
          <w:rFonts w:hint="eastAsia"/>
        </w:rPr>
        <w:t>的规定；采用超声回弹综合法时，应符合现行协会标准《超声回弹综合法检测混凝土强度技术规程》</w:t>
      </w:r>
      <w:r>
        <w:t>CECS 02</w:t>
      </w:r>
      <w:r>
        <w:rPr>
          <w:rFonts w:hint="eastAsia"/>
        </w:rPr>
        <w:t>的规定；采用钻芯法时，应符合现行行业标准《钻芯法检测混凝土强度技术规程》</w:t>
      </w:r>
      <w:r>
        <w:t>JGJ/T 384</w:t>
      </w:r>
      <w:r>
        <w:rPr>
          <w:rFonts w:hint="eastAsia"/>
        </w:rPr>
        <w:t>的规定；采用拉脱法时，应符合现行行业标准《拉脱法检测混凝土抗压强度技术规程》</w:t>
      </w:r>
      <w:r>
        <w:t>JGJ/T 378</w:t>
      </w:r>
      <w:r>
        <w:rPr>
          <w:rFonts w:hint="eastAsia"/>
        </w:rPr>
        <w:t>的规定。</w:t>
      </w:r>
    </w:p>
    <w:p>
      <w:pPr>
        <w:rPr>
          <w:strike/>
        </w:rPr>
      </w:pPr>
      <w:r>
        <w:rPr>
          <w:rFonts w:hint="eastAsia"/>
          <w:b/>
        </w:rPr>
        <w:t>5</w:t>
      </w:r>
      <w:r>
        <w:rPr>
          <w:b/>
        </w:rPr>
        <w:t>.2.2</w:t>
      </w:r>
      <w:r>
        <w:t xml:space="preserve">  </w:t>
      </w:r>
      <w:r>
        <w:rPr>
          <w:rFonts w:hint="eastAsia"/>
        </w:rPr>
        <w:t>预制构件混凝土抗拉强度包括劈裂抗拉强度和轴向抗拉强度，检测方法应符合现行国家标准《混凝土物理力学性能试验方法标准》GB/T 50081的规定。</w:t>
      </w:r>
    </w:p>
    <w:p>
      <w:pPr>
        <w:pStyle w:val="3"/>
      </w:pPr>
      <w:bookmarkStart w:id="137" w:name="_Toc8736832"/>
      <w:bookmarkStart w:id="138" w:name="_Toc12959526"/>
      <w:bookmarkStart w:id="139" w:name="_Toc17273655"/>
      <w:bookmarkStart w:id="140" w:name="_Toc12886304"/>
      <w:bookmarkStart w:id="141" w:name="_Toc523216196"/>
      <w:bookmarkStart w:id="142" w:name="_Toc6318070"/>
      <w:bookmarkStart w:id="143" w:name="_Toc6325051"/>
      <w:bookmarkStart w:id="144" w:name="_Toc523216654"/>
      <w:bookmarkStart w:id="145" w:name="_Toc522031097"/>
      <w:bookmarkStart w:id="146" w:name="_Toc522627942"/>
      <w:r>
        <w:rPr>
          <w:rFonts w:hint="eastAsia"/>
          <w:b/>
        </w:rPr>
        <w:t>5.</w:t>
      </w:r>
      <w:r>
        <w:rPr>
          <w:b/>
        </w:rPr>
        <w:t>3</w:t>
      </w:r>
      <w:r>
        <w:rPr>
          <w:rFonts w:hint="eastAsia"/>
        </w:rPr>
        <w:t xml:space="preserve"> </w:t>
      </w:r>
      <w:r>
        <w:t xml:space="preserve"> </w:t>
      </w:r>
      <w:r>
        <w:rPr>
          <w:rFonts w:hint="eastAsia"/>
        </w:rPr>
        <w:t>构件缺陷</w:t>
      </w:r>
      <w:bookmarkEnd w:id="137"/>
      <w:bookmarkEnd w:id="138"/>
      <w:bookmarkEnd w:id="139"/>
      <w:bookmarkEnd w:id="140"/>
      <w:bookmarkEnd w:id="141"/>
      <w:bookmarkEnd w:id="142"/>
      <w:bookmarkEnd w:id="143"/>
      <w:bookmarkEnd w:id="144"/>
      <w:bookmarkEnd w:id="145"/>
      <w:bookmarkEnd w:id="146"/>
      <w:r>
        <w:fldChar w:fldCharType="begin"/>
      </w:r>
      <w:r>
        <w:instrText xml:space="preserve"> </w:instrText>
      </w:r>
      <w:r>
        <w:rPr>
          <w:rFonts w:hint="eastAsia"/>
        </w:rPr>
        <w:instrText xml:space="preserve">TC  "</w:instrText>
      </w:r>
      <w:bookmarkStart w:id="147" w:name="_Toc17274695"/>
      <w:r>
        <w:rPr>
          <w:rFonts w:hint="eastAsia"/>
        </w:rPr>
        <w:instrText xml:space="preserve">5.3  Concrete Defects</w:instrText>
      </w:r>
      <w:bookmarkEnd w:id="147"/>
      <w:r>
        <w:rPr>
          <w:rFonts w:hint="eastAsia"/>
        </w:rPr>
        <w:instrText xml:space="preserve">" \l 2</w:instrText>
      </w:r>
      <w:r>
        <w:instrText xml:space="preserve"> </w:instrText>
      </w:r>
      <w:r>
        <w:fldChar w:fldCharType="end"/>
      </w:r>
    </w:p>
    <w:p>
      <w:pPr>
        <w:rPr>
          <w:color w:val="000000"/>
        </w:rPr>
      </w:pPr>
      <w:r>
        <w:rPr>
          <w:rFonts w:hint="eastAsia"/>
          <w:b/>
        </w:rPr>
        <w:t>5.</w:t>
      </w:r>
      <w:r>
        <w:rPr>
          <w:b/>
        </w:rPr>
        <w:t>3</w:t>
      </w:r>
      <w:r>
        <w:rPr>
          <w:rFonts w:hint="eastAsia"/>
          <w:b/>
        </w:rPr>
        <w:t>.1</w:t>
      </w:r>
      <w:r>
        <w:rPr>
          <w:rFonts w:hint="eastAsia"/>
        </w:rPr>
        <w:t xml:space="preserve"> </w:t>
      </w:r>
      <w:r>
        <w:t xml:space="preserve"> </w:t>
      </w:r>
      <w:r>
        <w:rPr>
          <w:rFonts w:hint="eastAsia"/>
          <w:color w:val="000000"/>
        </w:rPr>
        <w:t>预制构件</w:t>
      </w:r>
      <w:r>
        <w:rPr>
          <w:rFonts w:hint="eastAsia"/>
        </w:rPr>
        <w:t>质量</w:t>
      </w:r>
      <w:r>
        <w:rPr>
          <w:rFonts w:hint="eastAsia"/>
          <w:color w:val="000000"/>
        </w:rPr>
        <w:t>缺陷检测可分为外观质量缺陷检测和内部质量缺陷检测。</w:t>
      </w:r>
    </w:p>
    <w:p>
      <w:pPr>
        <w:rPr>
          <w:color w:val="000000"/>
        </w:rPr>
      </w:pPr>
      <w:r>
        <w:rPr>
          <w:rFonts w:hint="eastAsia"/>
          <w:b/>
          <w:color w:val="000000"/>
        </w:rPr>
        <w:t>5.</w:t>
      </w:r>
      <w:r>
        <w:rPr>
          <w:b/>
          <w:color w:val="000000"/>
        </w:rPr>
        <w:t>3</w:t>
      </w:r>
      <w:r>
        <w:rPr>
          <w:rFonts w:hint="eastAsia"/>
          <w:b/>
          <w:color w:val="000000"/>
        </w:rPr>
        <w:t>.2</w:t>
      </w:r>
      <w:r>
        <w:rPr>
          <w:rFonts w:hint="eastAsia"/>
          <w:color w:val="000000"/>
        </w:rPr>
        <w:t xml:space="preserve"> </w:t>
      </w:r>
      <w:r>
        <w:rPr>
          <w:color w:val="000000"/>
        </w:rPr>
        <w:t xml:space="preserve"> </w:t>
      </w:r>
      <w:r>
        <w:rPr>
          <w:rFonts w:hint="eastAsia"/>
          <w:color w:val="000000"/>
        </w:rPr>
        <w:t>外观质量缺陷检测可采用目测法并辅以相应的测量仪器量测。</w:t>
      </w:r>
    </w:p>
    <w:p>
      <w:r>
        <w:rPr>
          <w:rFonts w:hint="eastAsia"/>
          <w:b/>
          <w:color w:val="000000"/>
        </w:rPr>
        <w:t>5.</w:t>
      </w:r>
      <w:r>
        <w:rPr>
          <w:b/>
          <w:color w:val="000000"/>
        </w:rPr>
        <w:t>3</w:t>
      </w:r>
      <w:r>
        <w:rPr>
          <w:rFonts w:hint="eastAsia"/>
          <w:b/>
          <w:color w:val="000000"/>
        </w:rPr>
        <w:t>.3</w:t>
      </w:r>
      <w:r>
        <w:rPr>
          <w:rFonts w:hint="eastAsia"/>
          <w:color w:val="000000"/>
        </w:rPr>
        <w:t xml:space="preserve"> </w:t>
      </w:r>
      <w:r>
        <w:rPr>
          <w:color w:val="000000"/>
        </w:rPr>
        <w:t xml:space="preserve"> </w:t>
      </w:r>
      <w:r>
        <w:rPr>
          <w:rFonts w:hint="eastAsia"/>
          <w:color w:val="000000"/>
        </w:rPr>
        <w:t>内部质量缺陷检测</w:t>
      </w:r>
      <w:r>
        <w:rPr>
          <w:rFonts w:hint="eastAsia"/>
        </w:rPr>
        <w:t>可分为不密实区、裂缝深度等项目，可采用超声法、</w:t>
      </w:r>
      <w:bookmarkStart w:id="148" w:name="_Hlk521592488"/>
      <w:r>
        <w:rPr>
          <w:rFonts w:hint="eastAsia"/>
        </w:rPr>
        <w:t>冲击回波法、相控阵超声成像法</w:t>
      </w:r>
      <w:bookmarkEnd w:id="148"/>
      <w:r>
        <w:rPr>
          <w:rFonts w:hint="eastAsia"/>
        </w:rPr>
        <w:t>等非破损方法，必要时可钻芯或剔凿验证。采用超声法时，应符合现行协会标准《超声法检测混凝土缺陷技术规程》CECS</w:t>
      </w:r>
      <w:r>
        <w:t xml:space="preserve"> </w:t>
      </w:r>
      <w:r>
        <w:rPr>
          <w:rFonts w:hint="eastAsia"/>
        </w:rPr>
        <w:t>21的规定；采用冲击回波法时，应符合现行行业标准《冲击回波法检测混凝土缺陷技术规程》JG/T</w:t>
      </w:r>
      <w:r>
        <w:t xml:space="preserve"> </w:t>
      </w:r>
      <w:r>
        <w:rPr>
          <w:rFonts w:hint="eastAsia"/>
        </w:rPr>
        <w:t>411的规定；采用相控阵超声成像法时，可按本标准附录A执行。</w:t>
      </w:r>
    </w:p>
    <w:p>
      <w:pPr>
        <w:pStyle w:val="3"/>
      </w:pPr>
      <w:bookmarkStart w:id="149" w:name="_Toc523216197"/>
      <w:bookmarkStart w:id="150" w:name="_Toc522627943"/>
      <w:bookmarkStart w:id="151" w:name="_Toc522031098"/>
      <w:bookmarkStart w:id="152" w:name="_Toc523216655"/>
      <w:bookmarkStart w:id="153" w:name="_Toc12886305"/>
      <w:bookmarkStart w:id="154" w:name="_Toc8736833"/>
      <w:bookmarkStart w:id="155" w:name="_Toc6318071"/>
      <w:bookmarkStart w:id="156" w:name="_Toc12959527"/>
      <w:bookmarkStart w:id="157" w:name="_Toc6325052"/>
      <w:bookmarkStart w:id="158" w:name="_Toc17273656"/>
      <w:r>
        <w:rPr>
          <w:rFonts w:hint="eastAsia"/>
          <w:b/>
        </w:rPr>
        <w:t>5.</w:t>
      </w:r>
      <w:r>
        <w:rPr>
          <w:b/>
        </w:rPr>
        <w:t>4</w:t>
      </w:r>
      <w:r>
        <w:rPr>
          <w:rFonts w:hint="eastAsia"/>
        </w:rPr>
        <w:t xml:space="preserve"> </w:t>
      </w:r>
      <w:r>
        <w:t xml:space="preserve"> </w:t>
      </w:r>
      <w:r>
        <w:rPr>
          <w:rFonts w:hint="eastAsia"/>
        </w:rPr>
        <w:t>尺寸偏差</w:t>
      </w:r>
      <w:bookmarkEnd w:id="149"/>
      <w:bookmarkEnd w:id="150"/>
      <w:bookmarkEnd w:id="151"/>
      <w:bookmarkEnd w:id="152"/>
      <w:bookmarkEnd w:id="153"/>
      <w:bookmarkEnd w:id="154"/>
      <w:bookmarkEnd w:id="155"/>
      <w:bookmarkEnd w:id="156"/>
      <w:bookmarkEnd w:id="157"/>
      <w:bookmarkEnd w:id="158"/>
      <w:r>
        <w:fldChar w:fldCharType="begin"/>
      </w:r>
      <w:r>
        <w:instrText xml:space="preserve"> </w:instrText>
      </w:r>
      <w:r>
        <w:rPr>
          <w:rFonts w:hint="eastAsia"/>
        </w:rPr>
        <w:instrText xml:space="preserve">TC  "</w:instrText>
      </w:r>
      <w:bookmarkStart w:id="159" w:name="_Toc17274696"/>
      <w:r>
        <w:rPr>
          <w:rFonts w:hint="eastAsia"/>
        </w:rPr>
        <w:instrText xml:space="preserve">5.4  Size Deviation</w:instrText>
      </w:r>
      <w:bookmarkEnd w:id="159"/>
      <w:r>
        <w:rPr>
          <w:rFonts w:hint="eastAsia"/>
        </w:rPr>
        <w:instrText xml:space="preserve">" \l 2</w:instrText>
      </w:r>
      <w:r>
        <w:instrText xml:space="preserve"> </w:instrText>
      </w:r>
      <w:r>
        <w:fldChar w:fldCharType="end"/>
      </w:r>
    </w:p>
    <w:p>
      <w:r>
        <w:rPr>
          <w:rFonts w:hint="eastAsia"/>
          <w:b/>
        </w:rPr>
        <w:t>5.</w:t>
      </w:r>
      <w:r>
        <w:rPr>
          <w:b/>
        </w:rPr>
        <w:t>4</w:t>
      </w:r>
      <w:r>
        <w:rPr>
          <w:rFonts w:hint="eastAsia"/>
          <w:b/>
        </w:rPr>
        <w:t>.1</w:t>
      </w:r>
      <w:r>
        <w:rPr>
          <w:rFonts w:hint="eastAsia"/>
        </w:rPr>
        <w:t xml:space="preserve"> </w:t>
      </w:r>
      <w:r>
        <w:t xml:space="preserve"> </w:t>
      </w:r>
      <w:r>
        <w:rPr>
          <w:rFonts w:hint="eastAsia"/>
        </w:rPr>
        <w:t>尺寸偏差检测可分为下列项目：</w:t>
      </w:r>
    </w:p>
    <w:p>
      <w:pPr>
        <w:ind w:firstLine="316" w:firstLineChars="150"/>
        <w:rPr>
          <w:szCs w:val="21"/>
        </w:rPr>
      </w:pPr>
      <w:r>
        <w:rPr>
          <w:rFonts w:hint="eastAsia"/>
          <w:b/>
          <w:szCs w:val="21"/>
        </w:rPr>
        <w:t>1</w:t>
      </w:r>
      <w:r>
        <w:rPr>
          <w:szCs w:val="21"/>
        </w:rPr>
        <w:t xml:space="preserve">  </w:t>
      </w:r>
      <w:bookmarkStart w:id="160" w:name="_Hlk6573499"/>
      <w:r>
        <w:rPr>
          <w:rFonts w:hint="eastAsia"/>
          <w:szCs w:val="21"/>
        </w:rPr>
        <w:t>规格</w:t>
      </w:r>
      <w:bookmarkEnd w:id="160"/>
      <w:r>
        <w:rPr>
          <w:rFonts w:hint="eastAsia"/>
          <w:szCs w:val="21"/>
        </w:rPr>
        <w:t>尺寸：长度、宽度、高度、厚度；</w:t>
      </w:r>
    </w:p>
    <w:p>
      <w:pPr>
        <w:ind w:firstLine="316" w:firstLineChars="150"/>
        <w:rPr>
          <w:szCs w:val="21"/>
        </w:rPr>
      </w:pPr>
      <w:r>
        <w:rPr>
          <w:rFonts w:hint="eastAsia"/>
          <w:b/>
          <w:szCs w:val="21"/>
        </w:rPr>
        <w:t>2</w:t>
      </w:r>
      <w:r>
        <w:rPr>
          <w:szCs w:val="21"/>
        </w:rPr>
        <w:t xml:space="preserve">  </w:t>
      </w:r>
      <w:r>
        <w:rPr>
          <w:rFonts w:hint="eastAsia"/>
          <w:szCs w:val="21"/>
        </w:rPr>
        <w:t>外形尺寸：表面平整度、侧向弯曲、</w:t>
      </w:r>
      <w:r>
        <w:rPr>
          <w:szCs w:val="21"/>
        </w:rPr>
        <w:t>挠度变形</w:t>
      </w:r>
      <w:r>
        <w:rPr>
          <w:rFonts w:hint="eastAsia"/>
          <w:szCs w:val="21"/>
        </w:rPr>
        <w:t>、扭翘、</w:t>
      </w:r>
      <w:r>
        <w:rPr>
          <w:szCs w:val="21"/>
        </w:rPr>
        <w:t>对角线差</w:t>
      </w:r>
      <w:r>
        <w:rPr>
          <w:rFonts w:hint="eastAsia"/>
          <w:szCs w:val="21"/>
        </w:rPr>
        <w:t>；</w:t>
      </w:r>
    </w:p>
    <w:p>
      <w:pPr>
        <w:ind w:firstLine="316" w:firstLineChars="150"/>
        <w:rPr>
          <w:szCs w:val="21"/>
        </w:rPr>
      </w:pPr>
      <w:r>
        <w:rPr>
          <w:rFonts w:hint="eastAsia"/>
          <w:b/>
          <w:szCs w:val="21"/>
        </w:rPr>
        <w:t>3</w:t>
      </w:r>
      <w:r>
        <w:rPr>
          <w:b/>
          <w:szCs w:val="21"/>
        </w:rPr>
        <w:t xml:space="preserve"> </w:t>
      </w:r>
      <w:r>
        <w:rPr>
          <w:szCs w:val="21"/>
        </w:rPr>
        <w:t xml:space="preserve"> </w:t>
      </w:r>
      <w:r>
        <w:rPr>
          <w:rFonts w:hint="eastAsia"/>
          <w:szCs w:val="21"/>
        </w:rPr>
        <w:t>预埋件、预留插筋、预留孔、预留洞位置；</w:t>
      </w:r>
    </w:p>
    <w:p>
      <w:pPr>
        <w:ind w:firstLine="316" w:firstLineChars="150"/>
        <w:rPr>
          <w:szCs w:val="21"/>
        </w:rPr>
      </w:pPr>
      <w:r>
        <w:rPr>
          <w:rFonts w:hint="eastAsia"/>
          <w:b/>
          <w:szCs w:val="21"/>
        </w:rPr>
        <w:t>4</w:t>
      </w:r>
      <w:r>
        <w:rPr>
          <w:szCs w:val="21"/>
        </w:rPr>
        <w:t xml:space="preserve">  </w:t>
      </w:r>
      <w:r>
        <w:rPr>
          <w:rFonts w:hint="eastAsia"/>
          <w:szCs w:val="21"/>
        </w:rPr>
        <w:t>键槽位置、尺寸；</w:t>
      </w:r>
    </w:p>
    <w:p>
      <w:pPr>
        <w:ind w:firstLine="316" w:firstLineChars="150"/>
        <w:rPr>
          <w:szCs w:val="21"/>
        </w:rPr>
      </w:pPr>
      <w:r>
        <w:rPr>
          <w:b/>
          <w:szCs w:val="21"/>
        </w:rPr>
        <w:t xml:space="preserve">5  </w:t>
      </w:r>
      <w:r>
        <w:rPr>
          <w:rFonts w:hint="eastAsia"/>
          <w:szCs w:val="21"/>
        </w:rPr>
        <w:t>粗糙面凹凸深度；</w:t>
      </w:r>
    </w:p>
    <w:p>
      <w:pPr>
        <w:ind w:firstLine="316" w:firstLineChars="150"/>
        <w:rPr>
          <w:szCs w:val="21"/>
        </w:rPr>
      </w:pPr>
      <w:bookmarkStart w:id="161" w:name="_Hlk6573706"/>
      <w:r>
        <w:rPr>
          <w:b/>
          <w:szCs w:val="21"/>
        </w:rPr>
        <w:t xml:space="preserve">6  </w:t>
      </w:r>
      <w:r>
        <w:rPr>
          <w:rFonts w:hint="eastAsia"/>
          <w:szCs w:val="21"/>
        </w:rPr>
        <w:t>灌浆套筒及连接钢筋</w:t>
      </w:r>
      <w:bookmarkEnd w:id="161"/>
      <w:r>
        <w:rPr>
          <w:rFonts w:hint="eastAsia"/>
          <w:szCs w:val="21"/>
        </w:rPr>
        <w:t>位置、尺寸；</w:t>
      </w:r>
    </w:p>
    <w:p>
      <w:pPr>
        <w:ind w:firstLine="316" w:firstLineChars="150"/>
        <w:rPr>
          <w:szCs w:val="21"/>
        </w:rPr>
      </w:pPr>
      <w:r>
        <w:rPr>
          <w:b/>
          <w:szCs w:val="21"/>
        </w:rPr>
        <w:t>7</w:t>
      </w:r>
      <w:r>
        <w:rPr>
          <w:szCs w:val="21"/>
        </w:rPr>
        <w:t xml:space="preserve">  </w:t>
      </w:r>
      <w:r>
        <w:rPr>
          <w:rFonts w:hint="eastAsia"/>
          <w:szCs w:val="21"/>
        </w:rPr>
        <w:t>吊件位置。</w:t>
      </w:r>
    </w:p>
    <w:p>
      <w:r>
        <w:rPr>
          <w:rFonts w:hint="eastAsia"/>
          <w:b/>
        </w:rPr>
        <w:t>5.</w:t>
      </w:r>
      <w:r>
        <w:rPr>
          <w:b/>
        </w:rPr>
        <w:t>4</w:t>
      </w:r>
      <w:r>
        <w:rPr>
          <w:rFonts w:hint="eastAsia"/>
          <w:b/>
        </w:rPr>
        <w:t xml:space="preserve">.2 </w:t>
      </w:r>
      <w:r>
        <w:rPr>
          <w:b/>
        </w:rPr>
        <w:t xml:space="preserve"> </w:t>
      </w:r>
      <w:r>
        <w:rPr>
          <w:rFonts w:hint="eastAsia"/>
        </w:rPr>
        <w:t>尺寸偏差检测方法可按表5</w:t>
      </w:r>
      <w:r>
        <w:t>.4.2</w:t>
      </w:r>
      <w:r>
        <w:rPr>
          <w:rFonts w:hint="eastAsia"/>
        </w:rPr>
        <w:t>执行，</w:t>
      </w:r>
      <w:r>
        <w:rPr>
          <w:rFonts w:hint="eastAsia"/>
          <w:szCs w:val="21"/>
        </w:rPr>
        <w:t>粗糙面凹凸深度检测方法可按本标准附录B执行，灌浆套筒及连接钢筋中心线位置检测方法可按本标准附录C执行。</w:t>
      </w:r>
    </w:p>
    <w:p>
      <w:pPr>
        <w:jc w:val="center"/>
        <w:rPr>
          <w:rFonts w:eastAsia="黑体"/>
          <w:sz w:val="18"/>
          <w:szCs w:val="18"/>
        </w:rPr>
      </w:pPr>
      <w:r>
        <w:rPr>
          <w:rFonts w:hint="eastAsia" w:eastAsia="黑体"/>
          <w:sz w:val="18"/>
          <w:szCs w:val="18"/>
        </w:rPr>
        <w:t>表5</w:t>
      </w:r>
      <w:r>
        <w:rPr>
          <w:rFonts w:eastAsia="黑体"/>
          <w:sz w:val="18"/>
          <w:szCs w:val="18"/>
        </w:rPr>
        <w:t xml:space="preserve">.4.2  </w:t>
      </w:r>
      <w:r>
        <w:rPr>
          <w:rFonts w:hint="eastAsia" w:eastAsia="黑体"/>
          <w:sz w:val="18"/>
          <w:szCs w:val="18"/>
        </w:rPr>
        <w:t>预制构件尺寸偏差检测方法</w:t>
      </w:r>
    </w:p>
    <w:tbl>
      <w:tblPr>
        <w:tblStyle w:val="26"/>
        <w:tblW w:w="613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843"/>
        <w:gridCol w:w="27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34" w:type="dxa"/>
            <w:shd w:val="clear" w:color="auto" w:fill="auto"/>
            <w:vAlign w:val="center"/>
          </w:tcPr>
          <w:p>
            <w:pPr>
              <w:spacing w:line="240" w:lineRule="auto"/>
              <w:jc w:val="center"/>
              <w:rPr>
                <w:sz w:val="15"/>
                <w:szCs w:val="15"/>
              </w:rPr>
            </w:pPr>
            <w:r>
              <w:rPr>
                <w:rFonts w:hint="eastAsia"/>
                <w:sz w:val="15"/>
                <w:szCs w:val="15"/>
              </w:rPr>
              <w:t>项次</w:t>
            </w:r>
          </w:p>
        </w:tc>
        <w:tc>
          <w:tcPr>
            <w:tcW w:w="2835" w:type="dxa"/>
            <w:gridSpan w:val="2"/>
            <w:shd w:val="clear" w:color="auto" w:fill="auto"/>
            <w:vAlign w:val="center"/>
          </w:tcPr>
          <w:p>
            <w:pPr>
              <w:spacing w:line="240" w:lineRule="auto"/>
              <w:jc w:val="center"/>
              <w:rPr>
                <w:sz w:val="15"/>
                <w:szCs w:val="15"/>
              </w:rPr>
            </w:pPr>
            <w:r>
              <w:rPr>
                <w:rFonts w:hint="eastAsia"/>
                <w:sz w:val="15"/>
                <w:szCs w:val="15"/>
              </w:rPr>
              <w:t>项目</w:t>
            </w:r>
          </w:p>
        </w:tc>
        <w:tc>
          <w:tcPr>
            <w:tcW w:w="2767" w:type="dxa"/>
            <w:shd w:val="clear" w:color="auto" w:fill="auto"/>
            <w:vAlign w:val="center"/>
          </w:tcPr>
          <w:p>
            <w:pPr>
              <w:spacing w:line="240" w:lineRule="auto"/>
              <w:jc w:val="center"/>
              <w:rPr>
                <w:sz w:val="15"/>
                <w:szCs w:val="15"/>
              </w:rPr>
            </w:pPr>
            <w:r>
              <w:rPr>
                <w:rFonts w:hint="eastAsia"/>
                <w:sz w:val="15"/>
                <w:szCs w:val="15"/>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rFonts w:hint="eastAsia"/>
                <w:sz w:val="15"/>
                <w:szCs w:val="15"/>
              </w:rPr>
              <w:t>1</w:t>
            </w:r>
          </w:p>
        </w:tc>
        <w:tc>
          <w:tcPr>
            <w:tcW w:w="992" w:type="dxa"/>
            <w:vMerge w:val="restart"/>
            <w:shd w:val="clear" w:color="auto" w:fill="auto"/>
            <w:vAlign w:val="center"/>
          </w:tcPr>
          <w:p>
            <w:pPr>
              <w:spacing w:line="240" w:lineRule="auto"/>
              <w:jc w:val="center"/>
              <w:rPr>
                <w:sz w:val="15"/>
                <w:szCs w:val="15"/>
              </w:rPr>
            </w:pPr>
            <w:r>
              <w:rPr>
                <w:rFonts w:hint="eastAsia"/>
                <w:sz w:val="15"/>
                <w:szCs w:val="15"/>
              </w:rPr>
              <w:t>规格尺寸</w:t>
            </w:r>
          </w:p>
        </w:tc>
        <w:tc>
          <w:tcPr>
            <w:tcW w:w="1843" w:type="dxa"/>
            <w:shd w:val="clear" w:color="auto" w:fill="auto"/>
            <w:vAlign w:val="center"/>
          </w:tcPr>
          <w:p>
            <w:pPr>
              <w:spacing w:line="240" w:lineRule="auto"/>
              <w:jc w:val="center"/>
              <w:rPr>
                <w:sz w:val="15"/>
                <w:szCs w:val="15"/>
              </w:rPr>
            </w:pPr>
            <w:r>
              <w:rPr>
                <w:rFonts w:hint="eastAsia"/>
                <w:sz w:val="15"/>
                <w:szCs w:val="15"/>
              </w:rPr>
              <w:t>长度、宽度</w:t>
            </w:r>
          </w:p>
        </w:tc>
        <w:tc>
          <w:tcPr>
            <w:tcW w:w="2767" w:type="dxa"/>
            <w:shd w:val="clear" w:color="auto" w:fill="auto"/>
            <w:vAlign w:val="center"/>
          </w:tcPr>
          <w:p>
            <w:pPr>
              <w:spacing w:line="240" w:lineRule="auto"/>
              <w:rPr>
                <w:sz w:val="15"/>
                <w:szCs w:val="15"/>
              </w:rPr>
            </w:pPr>
            <w:r>
              <w:rPr>
                <w:rFonts w:hint="eastAsia"/>
                <w:sz w:val="15"/>
                <w:szCs w:val="15"/>
              </w:rPr>
              <w:t>尺量两端及中间部，取其中偏差绝对值较大值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高度、厚度</w:t>
            </w:r>
          </w:p>
        </w:tc>
        <w:tc>
          <w:tcPr>
            <w:tcW w:w="2767" w:type="dxa"/>
            <w:shd w:val="clear" w:color="auto" w:fill="auto"/>
            <w:vAlign w:val="center"/>
          </w:tcPr>
          <w:p>
            <w:pPr>
              <w:spacing w:line="240" w:lineRule="auto"/>
              <w:rPr>
                <w:sz w:val="15"/>
                <w:szCs w:val="15"/>
              </w:rPr>
            </w:pPr>
            <w:r>
              <w:rPr>
                <w:rFonts w:hint="eastAsia"/>
                <w:sz w:val="15"/>
                <w:szCs w:val="15"/>
              </w:rPr>
              <w:t>用尺量板四角和四边中部位置共8处，取其中偏差绝对值较大值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rFonts w:hint="eastAsia"/>
                <w:sz w:val="15"/>
                <w:szCs w:val="15"/>
              </w:rPr>
              <w:t>2</w:t>
            </w:r>
          </w:p>
        </w:tc>
        <w:tc>
          <w:tcPr>
            <w:tcW w:w="992" w:type="dxa"/>
            <w:vMerge w:val="restart"/>
            <w:shd w:val="clear" w:color="auto" w:fill="auto"/>
            <w:vAlign w:val="center"/>
          </w:tcPr>
          <w:p>
            <w:pPr>
              <w:spacing w:line="240" w:lineRule="auto"/>
              <w:jc w:val="center"/>
              <w:rPr>
                <w:sz w:val="15"/>
                <w:szCs w:val="15"/>
              </w:rPr>
            </w:pPr>
            <w:r>
              <w:rPr>
                <w:rFonts w:hint="eastAsia"/>
                <w:sz w:val="15"/>
                <w:szCs w:val="15"/>
              </w:rPr>
              <w:t>外形尺寸</w:t>
            </w:r>
          </w:p>
        </w:tc>
        <w:tc>
          <w:tcPr>
            <w:tcW w:w="1843" w:type="dxa"/>
            <w:shd w:val="clear" w:color="auto" w:fill="auto"/>
            <w:vAlign w:val="center"/>
          </w:tcPr>
          <w:p>
            <w:pPr>
              <w:spacing w:line="240" w:lineRule="auto"/>
              <w:jc w:val="center"/>
              <w:rPr>
                <w:sz w:val="15"/>
                <w:szCs w:val="15"/>
              </w:rPr>
            </w:pPr>
            <w:r>
              <w:rPr>
                <w:rFonts w:hint="eastAsia"/>
                <w:sz w:val="15"/>
                <w:szCs w:val="15"/>
              </w:rPr>
              <w:t>表面平整度</w:t>
            </w:r>
          </w:p>
        </w:tc>
        <w:tc>
          <w:tcPr>
            <w:tcW w:w="2767" w:type="dxa"/>
            <w:shd w:val="clear" w:color="auto" w:fill="auto"/>
            <w:vAlign w:val="center"/>
          </w:tcPr>
          <w:p>
            <w:pPr>
              <w:spacing w:line="240" w:lineRule="auto"/>
              <w:rPr>
                <w:sz w:val="15"/>
                <w:szCs w:val="15"/>
              </w:rPr>
            </w:pPr>
            <w:r>
              <w:rPr>
                <w:rFonts w:hint="eastAsia"/>
                <w:sz w:val="15"/>
                <w:szCs w:val="15"/>
              </w:rPr>
              <w:t>靠尺安放在构件表面上，用楔形塞尺量测靠尺与表面之间的最大缝隙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侧向弯曲、挠度变形</w:t>
            </w:r>
          </w:p>
        </w:tc>
        <w:tc>
          <w:tcPr>
            <w:tcW w:w="2767" w:type="dxa"/>
            <w:shd w:val="clear" w:color="auto" w:fill="auto"/>
            <w:vAlign w:val="center"/>
          </w:tcPr>
          <w:p>
            <w:pPr>
              <w:spacing w:line="240" w:lineRule="auto"/>
              <w:jc w:val="center"/>
              <w:rPr>
                <w:sz w:val="15"/>
                <w:szCs w:val="15"/>
              </w:rPr>
            </w:pPr>
            <w:r>
              <w:rPr>
                <w:rFonts w:hint="eastAsia"/>
                <w:sz w:val="15"/>
                <w:szCs w:val="15"/>
              </w:rPr>
              <w:t>拉线、尺量最大弯曲处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扭翘</w:t>
            </w:r>
          </w:p>
        </w:tc>
        <w:tc>
          <w:tcPr>
            <w:tcW w:w="2767" w:type="dxa"/>
            <w:shd w:val="clear" w:color="auto" w:fill="auto"/>
            <w:vAlign w:val="center"/>
          </w:tcPr>
          <w:p>
            <w:pPr>
              <w:spacing w:line="240" w:lineRule="auto"/>
              <w:rPr>
                <w:sz w:val="15"/>
                <w:szCs w:val="15"/>
              </w:rPr>
            </w:pPr>
            <w:r>
              <w:rPr>
                <w:rFonts w:hint="eastAsia"/>
                <w:sz w:val="15"/>
                <w:szCs w:val="15"/>
              </w:rPr>
              <w:t>四对角拉两条线，量测两线交点之间的距离值，其值的2倍为扭翘值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对角线差</w:t>
            </w:r>
          </w:p>
        </w:tc>
        <w:tc>
          <w:tcPr>
            <w:tcW w:w="2767" w:type="dxa"/>
            <w:shd w:val="clear" w:color="auto" w:fill="auto"/>
            <w:vAlign w:val="center"/>
          </w:tcPr>
          <w:p>
            <w:pPr>
              <w:spacing w:line="240" w:lineRule="auto"/>
              <w:rPr>
                <w:sz w:val="15"/>
                <w:szCs w:val="15"/>
              </w:rPr>
            </w:pPr>
            <w:r>
              <w:rPr>
                <w:rFonts w:hint="eastAsia"/>
                <w:sz w:val="15"/>
                <w:szCs w:val="15"/>
              </w:rPr>
              <w:t>在构件表面，用尺量测两对角线的长度，取其绝对值的差值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rFonts w:hint="eastAsia"/>
                <w:sz w:val="15"/>
                <w:szCs w:val="15"/>
              </w:rPr>
              <w:t>3</w:t>
            </w:r>
          </w:p>
        </w:tc>
        <w:tc>
          <w:tcPr>
            <w:tcW w:w="992" w:type="dxa"/>
            <w:vMerge w:val="restart"/>
            <w:shd w:val="clear" w:color="auto" w:fill="auto"/>
            <w:vAlign w:val="center"/>
          </w:tcPr>
          <w:p>
            <w:pPr>
              <w:spacing w:line="240" w:lineRule="auto"/>
              <w:rPr>
                <w:sz w:val="15"/>
                <w:szCs w:val="15"/>
              </w:rPr>
            </w:pPr>
            <w:r>
              <w:rPr>
                <w:rFonts w:hint="eastAsia"/>
                <w:sz w:val="15"/>
                <w:szCs w:val="15"/>
              </w:rPr>
              <w:t>预埋件、预埋套管、预埋线盒</w:t>
            </w:r>
          </w:p>
        </w:tc>
        <w:tc>
          <w:tcPr>
            <w:tcW w:w="1843" w:type="dxa"/>
            <w:shd w:val="clear" w:color="auto" w:fill="auto"/>
            <w:vAlign w:val="center"/>
          </w:tcPr>
          <w:p>
            <w:pPr>
              <w:spacing w:line="240" w:lineRule="auto"/>
              <w:jc w:val="center"/>
              <w:rPr>
                <w:sz w:val="15"/>
                <w:szCs w:val="15"/>
              </w:rPr>
            </w:pPr>
            <w:r>
              <w:rPr>
                <w:rFonts w:hint="eastAsia"/>
                <w:sz w:val="15"/>
                <w:szCs w:val="15"/>
              </w:rPr>
              <w:t>中心线位置偏差</w:t>
            </w:r>
          </w:p>
        </w:tc>
        <w:tc>
          <w:tcPr>
            <w:tcW w:w="2767" w:type="dxa"/>
            <w:shd w:val="clear" w:color="auto" w:fill="auto"/>
            <w:vAlign w:val="center"/>
          </w:tcPr>
          <w:p>
            <w:pPr>
              <w:spacing w:line="240" w:lineRule="auto"/>
              <w:rPr>
                <w:sz w:val="15"/>
                <w:szCs w:val="15"/>
              </w:rPr>
            </w:pPr>
            <w:r>
              <w:rPr>
                <w:rFonts w:hint="eastAsia"/>
                <w:sz w:val="15"/>
                <w:szCs w:val="15"/>
              </w:rPr>
              <w:t>尺量纵、横两个方向的中心线位置，取其中较大值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平面高差</w:t>
            </w:r>
          </w:p>
        </w:tc>
        <w:tc>
          <w:tcPr>
            <w:tcW w:w="2767" w:type="dxa"/>
            <w:shd w:val="clear" w:color="auto" w:fill="auto"/>
            <w:vAlign w:val="center"/>
          </w:tcPr>
          <w:p>
            <w:pPr>
              <w:spacing w:line="240" w:lineRule="auto"/>
              <w:rPr>
                <w:sz w:val="15"/>
                <w:szCs w:val="15"/>
              </w:rPr>
            </w:pPr>
            <w:r>
              <w:rPr>
                <w:rFonts w:hint="eastAsia"/>
                <w:sz w:val="15"/>
                <w:szCs w:val="15"/>
              </w:rPr>
              <w:t>尺紧靠在预埋件上，用楔形塞尺量测预埋件平面与混凝土面的最大缝隙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rFonts w:hint="eastAsia"/>
                <w:sz w:val="15"/>
                <w:szCs w:val="15"/>
              </w:rPr>
              <w:t>4</w:t>
            </w:r>
          </w:p>
        </w:tc>
        <w:tc>
          <w:tcPr>
            <w:tcW w:w="992" w:type="dxa"/>
            <w:vMerge w:val="restart"/>
            <w:shd w:val="clear" w:color="auto" w:fill="auto"/>
            <w:vAlign w:val="center"/>
          </w:tcPr>
          <w:p>
            <w:pPr>
              <w:spacing w:line="240" w:lineRule="auto"/>
              <w:rPr>
                <w:sz w:val="15"/>
                <w:szCs w:val="15"/>
              </w:rPr>
            </w:pPr>
            <w:r>
              <w:rPr>
                <w:rFonts w:hint="eastAsia"/>
                <w:sz w:val="15"/>
                <w:szCs w:val="15"/>
              </w:rPr>
              <w:t>预留插筋、预埋线管</w:t>
            </w:r>
          </w:p>
        </w:tc>
        <w:tc>
          <w:tcPr>
            <w:tcW w:w="1843" w:type="dxa"/>
            <w:shd w:val="clear" w:color="auto" w:fill="auto"/>
            <w:vAlign w:val="center"/>
          </w:tcPr>
          <w:p>
            <w:pPr>
              <w:spacing w:line="240" w:lineRule="auto"/>
              <w:jc w:val="center"/>
              <w:rPr>
                <w:sz w:val="15"/>
                <w:szCs w:val="15"/>
              </w:rPr>
            </w:pPr>
            <w:r>
              <w:rPr>
                <w:rFonts w:hint="eastAsia"/>
                <w:sz w:val="15"/>
                <w:szCs w:val="15"/>
              </w:rPr>
              <w:t>中心线位置偏差</w:t>
            </w:r>
          </w:p>
        </w:tc>
        <w:tc>
          <w:tcPr>
            <w:tcW w:w="2767" w:type="dxa"/>
            <w:shd w:val="clear" w:color="auto" w:fill="auto"/>
            <w:vAlign w:val="center"/>
          </w:tcPr>
          <w:p>
            <w:pPr>
              <w:spacing w:line="240" w:lineRule="auto"/>
              <w:rPr>
                <w:sz w:val="15"/>
                <w:szCs w:val="15"/>
              </w:rPr>
            </w:pPr>
            <w:r>
              <w:rPr>
                <w:rFonts w:hint="eastAsia"/>
                <w:sz w:val="15"/>
                <w:szCs w:val="15"/>
              </w:rPr>
              <w:t>尺量纵、横两个方向的中心线位置，取其中较大值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外露长度</w:t>
            </w:r>
          </w:p>
        </w:tc>
        <w:tc>
          <w:tcPr>
            <w:tcW w:w="2767" w:type="dxa"/>
            <w:shd w:val="clear" w:color="auto" w:fill="auto"/>
            <w:vAlign w:val="center"/>
          </w:tcPr>
          <w:p>
            <w:pPr>
              <w:spacing w:line="240" w:lineRule="auto"/>
              <w:jc w:val="center"/>
              <w:rPr>
                <w:sz w:val="15"/>
                <w:szCs w:val="15"/>
              </w:rPr>
            </w:pPr>
            <w:r>
              <w:rPr>
                <w:rFonts w:hint="eastAsia"/>
                <w:sz w:val="15"/>
                <w:szCs w:val="15"/>
              </w:rPr>
              <w:t>尺量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rFonts w:hint="eastAsia"/>
                <w:sz w:val="15"/>
                <w:szCs w:val="15"/>
              </w:rPr>
              <w:t>5</w:t>
            </w:r>
          </w:p>
        </w:tc>
        <w:tc>
          <w:tcPr>
            <w:tcW w:w="992" w:type="dxa"/>
            <w:vMerge w:val="restart"/>
            <w:shd w:val="clear" w:color="auto" w:fill="auto"/>
            <w:vAlign w:val="center"/>
          </w:tcPr>
          <w:p>
            <w:pPr>
              <w:spacing w:line="240" w:lineRule="auto"/>
              <w:jc w:val="center"/>
              <w:rPr>
                <w:sz w:val="15"/>
                <w:szCs w:val="15"/>
              </w:rPr>
            </w:pPr>
            <w:r>
              <w:rPr>
                <w:rFonts w:hint="eastAsia"/>
                <w:sz w:val="15"/>
                <w:szCs w:val="15"/>
              </w:rPr>
              <w:t>预留孔、预留洞</w:t>
            </w:r>
          </w:p>
        </w:tc>
        <w:tc>
          <w:tcPr>
            <w:tcW w:w="1843" w:type="dxa"/>
            <w:shd w:val="clear" w:color="auto" w:fill="auto"/>
            <w:vAlign w:val="center"/>
          </w:tcPr>
          <w:p>
            <w:pPr>
              <w:spacing w:line="240" w:lineRule="auto"/>
              <w:jc w:val="center"/>
              <w:rPr>
                <w:sz w:val="15"/>
                <w:szCs w:val="15"/>
              </w:rPr>
            </w:pPr>
            <w:r>
              <w:rPr>
                <w:rFonts w:hint="eastAsia"/>
                <w:sz w:val="15"/>
                <w:szCs w:val="15"/>
              </w:rPr>
              <w:t>中心线位置偏差</w:t>
            </w:r>
          </w:p>
        </w:tc>
        <w:tc>
          <w:tcPr>
            <w:tcW w:w="2767" w:type="dxa"/>
            <w:shd w:val="clear" w:color="auto" w:fill="auto"/>
            <w:vAlign w:val="center"/>
          </w:tcPr>
          <w:p>
            <w:pPr>
              <w:spacing w:line="240" w:lineRule="auto"/>
              <w:rPr>
                <w:sz w:val="15"/>
                <w:szCs w:val="15"/>
              </w:rPr>
            </w:pPr>
            <w:r>
              <w:rPr>
                <w:rFonts w:hint="eastAsia"/>
                <w:sz w:val="15"/>
                <w:szCs w:val="15"/>
              </w:rPr>
              <w:t>尺量纵、横两个方向的中心线位置，取其中较大值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孔尺寸，洞口尺寸、深度</w:t>
            </w:r>
          </w:p>
        </w:tc>
        <w:tc>
          <w:tcPr>
            <w:tcW w:w="2767" w:type="dxa"/>
            <w:shd w:val="clear" w:color="auto" w:fill="auto"/>
            <w:vAlign w:val="center"/>
          </w:tcPr>
          <w:p>
            <w:pPr>
              <w:spacing w:line="240" w:lineRule="auto"/>
              <w:rPr>
                <w:sz w:val="15"/>
                <w:szCs w:val="15"/>
              </w:rPr>
            </w:pPr>
            <w:r>
              <w:rPr>
                <w:rFonts w:hint="eastAsia"/>
                <w:sz w:val="15"/>
                <w:szCs w:val="15"/>
              </w:rPr>
              <w:t>尺量纵、横两个方向尺寸，取其最大值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sz w:val="15"/>
                <w:szCs w:val="15"/>
              </w:rPr>
              <w:t>6</w:t>
            </w:r>
          </w:p>
        </w:tc>
        <w:tc>
          <w:tcPr>
            <w:tcW w:w="992" w:type="dxa"/>
            <w:vMerge w:val="restart"/>
            <w:shd w:val="clear" w:color="auto" w:fill="auto"/>
            <w:vAlign w:val="center"/>
          </w:tcPr>
          <w:p>
            <w:pPr>
              <w:spacing w:line="240" w:lineRule="auto"/>
              <w:jc w:val="center"/>
              <w:rPr>
                <w:sz w:val="15"/>
                <w:szCs w:val="15"/>
              </w:rPr>
            </w:pPr>
            <w:r>
              <w:rPr>
                <w:rFonts w:hint="eastAsia"/>
                <w:sz w:val="15"/>
                <w:szCs w:val="15"/>
              </w:rPr>
              <w:t>键槽</w:t>
            </w:r>
          </w:p>
        </w:tc>
        <w:tc>
          <w:tcPr>
            <w:tcW w:w="1843" w:type="dxa"/>
            <w:shd w:val="clear" w:color="auto" w:fill="auto"/>
            <w:vAlign w:val="center"/>
          </w:tcPr>
          <w:p>
            <w:pPr>
              <w:spacing w:line="240" w:lineRule="auto"/>
              <w:jc w:val="center"/>
              <w:rPr>
                <w:sz w:val="15"/>
                <w:szCs w:val="15"/>
              </w:rPr>
            </w:pPr>
            <w:r>
              <w:rPr>
                <w:rFonts w:hint="eastAsia"/>
                <w:sz w:val="15"/>
                <w:szCs w:val="15"/>
              </w:rPr>
              <w:t>中心线位置偏差</w:t>
            </w:r>
          </w:p>
        </w:tc>
        <w:tc>
          <w:tcPr>
            <w:tcW w:w="2767" w:type="dxa"/>
            <w:shd w:val="clear" w:color="auto" w:fill="auto"/>
            <w:vAlign w:val="center"/>
          </w:tcPr>
          <w:p>
            <w:pPr>
              <w:spacing w:line="240" w:lineRule="auto"/>
              <w:rPr>
                <w:sz w:val="15"/>
                <w:szCs w:val="15"/>
              </w:rPr>
            </w:pPr>
            <w:r>
              <w:rPr>
                <w:rFonts w:hint="eastAsia"/>
                <w:sz w:val="15"/>
                <w:szCs w:val="15"/>
              </w:rPr>
              <w:t>尺量纵、横两个方向的中心线位置，取其中较大值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z w:val="15"/>
                <w:szCs w:val="15"/>
              </w:rPr>
            </w:pPr>
            <w:r>
              <w:rPr>
                <w:rFonts w:hint="eastAsia"/>
                <w:sz w:val="15"/>
                <w:szCs w:val="15"/>
              </w:rPr>
              <w:t>长度、宽度、深度</w:t>
            </w:r>
          </w:p>
        </w:tc>
        <w:tc>
          <w:tcPr>
            <w:tcW w:w="2767" w:type="dxa"/>
            <w:shd w:val="clear" w:color="auto" w:fill="auto"/>
            <w:vAlign w:val="center"/>
          </w:tcPr>
          <w:p>
            <w:pPr>
              <w:spacing w:line="240" w:lineRule="auto"/>
              <w:jc w:val="center"/>
              <w:rPr>
                <w:sz w:val="15"/>
                <w:szCs w:val="15"/>
              </w:rPr>
            </w:pPr>
            <w:r>
              <w:rPr>
                <w:rFonts w:hint="eastAsia"/>
                <w:sz w:val="15"/>
                <w:szCs w:val="15"/>
              </w:rPr>
              <w:t>尺量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restart"/>
            <w:shd w:val="clear" w:color="auto" w:fill="auto"/>
            <w:vAlign w:val="center"/>
          </w:tcPr>
          <w:p>
            <w:pPr>
              <w:spacing w:line="240" w:lineRule="auto"/>
              <w:jc w:val="center"/>
              <w:rPr>
                <w:sz w:val="15"/>
                <w:szCs w:val="15"/>
              </w:rPr>
            </w:pPr>
            <w:r>
              <w:rPr>
                <w:rFonts w:hint="eastAsia"/>
                <w:sz w:val="15"/>
                <w:szCs w:val="15"/>
              </w:rPr>
              <w:t>7</w:t>
            </w:r>
          </w:p>
        </w:tc>
        <w:tc>
          <w:tcPr>
            <w:tcW w:w="992" w:type="dxa"/>
            <w:vMerge w:val="restart"/>
            <w:shd w:val="clear" w:color="auto" w:fill="auto"/>
            <w:vAlign w:val="center"/>
          </w:tcPr>
          <w:p>
            <w:pPr>
              <w:spacing w:line="240" w:lineRule="auto"/>
              <w:jc w:val="center"/>
              <w:rPr>
                <w:sz w:val="15"/>
                <w:szCs w:val="15"/>
              </w:rPr>
            </w:pPr>
            <w:r>
              <w:rPr>
                <w:rFonts w:hint="eastAsia"/>
                <w:sz w:val="15"/>
                <w:szCs w:val="15"/>
              </w:rPr>
              <w:t>吊环</w:t>
            </w:r>
          </w:p>
        </w:tc>
        <w:tc>
          <w:tcPr>
            <w:tcW w:w="1843" w:type="dxa"/>
            <w:shd w:val="clear" w:color="auto" w:fill="auto"/>
            <w:vAlign w:val="center"/>
          </w:tcPr>
          <w:p>
            <w:pPr>
              <w:spacing w:line="240" w:lineRule="auto"/>
              <w:jc w:val="center"/>
              <w:rPr>
                <w:sz w:val="15"/>
                <w:szCs w:val="15"/>
              </w:rPr>
            </w:pPr>
            <w:r>
              <w:rPr>
                <w:rFonts w:hint="eastAsia"/>
                <w:sz w:val="15"/>
                <w:szCs w:val="15"/>
              </w:rPr>
              <w:t>中心线位置偏移</w:t>
            </w:r>
          </w:p>
        </w:tc>
        <w:tc>
          <w:tcPr>
            <w:tcW w:w="2767" w:type="dxa"/>
            <w:shd w:val="clear" w:color="auto" w:fill="auto"/>
            <w:vAlign w:val="center"/>
          </w:tcPr>
          <w:p>
            <w:pPr>
              <w:spacing w:line="240" w:lineRule="auto"/>
              <w:rPr>
                <w:sz w:val="15"/>
                <w:szCs w:val="15"/>
              </w:rPr>
            </w:pPr>
            <w:r>
              <w:rPr>
                <w:rFonts w:hint="eastAsia"/>
                <w:sz w:val="15"/>
                <w:szCs w:val="15"/>
              </w:rPr>
              <w:t>尺量纵、横两个方向的中心线位置，取其中较大值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4" w:type="dxa"/>
            <w:vMerge w:val="continue"/>
            <w:shd w:val="clear" w:color="auto" w:fill="auto"/>
            <w:vAlign w:val="center"/>
          </w:tcPr>
          <w:p>
            <w:pPr>
              <w:spacing w:line="240" w:lineRule="auto"/>
              <w:jc w:val="center"/>
              <w:rPr>
                <w:sz w:val="15"/>
                <w:szCs w:val="15"/>
              </w:rPr>
            </w:pPr>
          </w:p>
        </w:tc>
        <w:tc>
          <w:tcPr>
            <w:tcW w:w="992" w:type="dxa"/>
            <w:vMerge w:val="continue"/>
            <w:shd w:val="clear" w:color="auto" w:fill="auto"/>
            <w:vAlign w:val="center"/>
          </w:tcPr>
          <w:p>
            <w:pPr>
              <w:spacing w:line="240" w:lineRule="auto"/>
              <w:jc w:val="center"/>
              <w:rPr>
                <w:sz w:val="15"/>
                <w:szCs w:val="15"/>
              </w:rPr>
            </w:pPr>
          </w:p>
        </w:tc>
        <w:tc>
          <w:tcPr>
            <w:tcW w:w="1843" w:type="dxa"/>
            <w:shd w:val="clear" w:color="auto" w:fill="auto"/>
            <w:vAlign w:val="center"/>
          </w:tcPr>
          <w:p>
            <w:pPr>
              <w:spacing w:line="240" w:lineRule="auto"/>
              <w:jc w:val="center"/>
              <w:rPr>
                <w:strike/>
                <w:sz w:val="15"/>
                <w:szCs w:val="15"/>
              </w:rPr>
            </w:pPr>
            <w:r>
              <w:rPr>
                <w:rFonts w:hint="eastAsia"/>
                <w:sz w:val="15"/>
                <w:szCs w:val="15"/>
              </w:rPr>
              <w:t>留出高度</w:t>
            </w:r>
          </w:p>
        </w:tc>
        <w:tc>
          <w:tcPr>
            <w:tcW w:w="2767" w:type="dxa"/>
            <w:shd w:val="clear" w:color="auto" w:fill="auto"/>
            <w:vAlign w:val="center"/>
          </w:tcPr>
          <w:p>
            <w:pPr>
              <w:spacing w:line="240" w:lineRule="auto"/>
              <w:jc w:val="center"/>
              <w:rPr>
                <w:sz w:val="15"/>
                <w:szCs w:val="15"/>
              </w:rPr>
            </w:pPr>
            <w:r>
              <w:rPr>
                <w:rFonts w:hint="eastAsia"/>
                <w:sz w:val="15"/>
                <w:szCs w:val="15"/>
              </w:rPr>
              <w:t>尺量</w:t>
            </w:r>
          </w:p>
        </w:tc>
      </w:tr>
    </w:tbl>
    <w:p>
      <w:pPr>
        <w:pStyle w:val="3"/>
      </w:pPr>
      <w:bookmarkStart w:id="162" w:name="_Toc523216198"/>
      <w:bookmarkStart w:id="163" w:name="_Toc8736834"/>
      <w:bookmarkStart w:id="164" w:name="_Toc12959528"/>
      <w:bookmarkStart w:id="165" w:name="_Toc17273657"/>
      <w:bookmarkStart w:id="166" w:name="_Toc12886306"/>
      <w:bookmarkStart w:id="167" w:name="_Toc6318072"/>
      <w:bookmarkStart w:id="168" w:name="_Toc6325053"/>
      <w:bookmarkStart w:id="169" w:name="_Toc523216656"/>
      <w:bookmarkStart w:id="170" w:name="_Toc522031099"/>
      <w:bookmarkStart w:id="171" w:name="_Toc522627944"/>
      <w:r>
        <w:rPr>
          <w:rFonts w:hint="eastAsia"/>
          <w:b/>
        </w:rPr>
        <w:t>5</w:t>
      </w:r>
      <w:r>
        <w:rPr>
          <w:b/>
        </w:rPr>
        <w:t>.5</w:t>
      </w:r>
      <w:r>
        <w:t xml:space="preserve">  </w:t>
      </w:r>
      <w:r>
        <w:rPr>
          <w:rFonts w:hint="eastAsia"/>
        </w:rPr>
        <w:t>钢筋配置</w:t>
      </w:r>
      <w:bookmarkEnd w:id="162"/>
      <w:bookmarkEnd w:id="163"/>
      <w:bookmarkEnd w:id="164"/>
      <w:bookmarkEnd w:id="165"/>
      <w:bookmarkEnd w:id="166"/>
      <w:bookmarkEnd w:id="167"/>
      <w:bookmarkEnd w:id="168"/>
      <w:bookmarkEnd w:id="169"/>
      <w:bookmarkEnd w:id="170"/>
      <w:bookmarkEnd w:id="171"/>
      <w:r>
        <w:fldChar w:fldCharType="begin"/>
      </w:r>
      <w:r>
        <w:instrText xml:space="preserve"> </w:instrText>
      </w:r>
      <w:r>
        <w:rPr>
          <w:rFonts w:hint="eastAsia"/>
        </w:rPr>
        <w:instrText xml:space="preserve">TC  "</w:instrText>
      </w:r>
      <w:bookmarkStart w:id="172" w:name="_Toc17274697"/>
      <w:r>
        <w:rPr>
          <w:rFonts w:hint="eastAsia"/>
        </w:rPr>
        <w:instrText xml:space="preserve">5.5  Arrangement of Reinforcement</w:instrText>
      </w:r>
      <w:bookmarkEnd w:id="172"/>
      <w:r>
        <w:rPr>
          <w:rFonts w:hint="eastAsia"/>
        </w:rPr>
        <w:instrText xml:space="preserve">" \l 2</w:instrText>
      </w:r>
      <w:r>
        <w:instrText xml:space="preserve"> </w:instrText>
      </w:r>
      <w:r>
        <w:fldChar w:fldCharType="end"/>
      </w:r>
    </w:p>
    <w:p>
      <w:r>
        <w:rPr>
          <w:b/>
        </w:rPr>
        <w:t>5.5.1</w:t>
      </w:r>
      <w:r>
        <w:t xml:space="preserve">  </w:t>
      </w:r>
      <w:r>
        <w:rPr>
          <w:rFonts w:hint="eastAsia"/>
        </w:rPr>
        <w:t>预制构件钢筋配置检测包括钢筋数量和间距、钢筋直径、混凝土保护层厚度等项目。</w:t>
      </w:r>
    </w:p>
    <w:p>
      <w:r>
        <w:rPr>
          <w:b/>
        </w:rPr>
        <w:t>5.5.2</w:t>
      </w:r>
      <w:r>
        <w:t xml:space="preserve">  </w:t>
      </w:r>
      <w:r>
        <w:rPr>
          <w:rFonts w:hint="eastAsia"/>
        </w:rPr>
        <w:t>钢筋数量和间距及混凝土保护层厚度，宜采用非破损的雷达法或电磁感应法进行检测，仪器性能和操作要求应符合现行国家及行业相关标准的规定，必要时可凿开混凝土进行钢筋直径或保护层厚度的验证。</w:t>
      </w:r>
    </w:p>
    <w:p>
      <w:pPr>
        <w:pStyle w:val="3"/>
      </w:pPr>
      <w:bookmarkStart w:id="173" w:name="_Toc6318073"/>
      <w:bookmarkStart w:id="174" w:name="_Toc12959529"/>
      <w:bookmarkStart w:id="175" w:name="_Toc17273658"/>
      <w:bookmarkStart w:id="176" w:name="_Toc8736835"/>
      <w:bookmarkStart w:id="177" w:name="_Toc12886307"/>
      <w:bookmarkStart w:id="178" w:name="_Toc6325054"/>
      <w:bookmarkStart w:id="179" w:name="_Toc522627945"/>
      <w:bookmarkStart w:id="180" w:name="_Toc523216199"/>
      <w:bookmarkStart w:id="181" w:name="_Toc523216657"/>
      <w:bookmarkStart w:id="182" w:name="_Toc522031100"/>
      <w:r>
        <w:rPr>
          <w:rFonts w:hint="eastAsia"/>
          <w:b/>
        </w:rPr>
        <w:t>5.</w:t>
      </w:r>
      <w:r>
        <w:rPr>
          <w:b/>
        </w:rPr>
        <w:t>6</w:t>
      </w:r>
      <w:r>
        <w:rPr>
          <w:rFonts w:hint="eastAsia"/>
        </w:rPr>
        <w:t xml:space="preserve"> </w:t>
      </w:r>
      <w:r>
        <w:t xml:space="preserve"> </w:t>
      </w:r>
      <w:r>
        <w:rPr>
          <w:rFonts w:hint="eastAsia"/>
        </w:rPr>
        <w:t>构件性能</w:t>
      </w:r>
      <w:bookmarkEnd w:id="173"/>
      <w:bookmarkEnd w:id="174"/>
      <w:bookmarkEnd w:id="175"/>
      <w:bookmarkEnd w:id="176"/>
      <w:bookmarkEnd w:id="177"/>
      <w:bookmarkEnd w:id="178"/>
      <w:bookmarkEnd w:id="179"/>
      <w:bookmarkEnd w:id="180"/>
      <w:bookmarkEnd w:id="181"/>
      <w:bookmarkEnd w:id="182"/>
      <w:r>
        <w:fldChar w:fldCharType="begin"/>
      </w:r>
      <w:r>
        <w:instrText xml:space="preserve"> </w:instrText>
      </w:r>
      <w:r>
        <w:rPr>
          <w:rFonts w:hint="eastAsia"/>
        </w:rPr>
        <w:instrText xml:space="preserve">TC  "</w:instrText>
      </w:r>
      <w:bookmarkStart w:id="183" w:name="_Toc17274698"/>
      <w:r>
        <w:rPr>
          <w:rFonts w:hint="eastAsia"/>
        </w:rPr>
        <w:instrText xml:space="preserve">5.6  Inspection of Component Performance</w:instrText>
      </w:r>
      <w:bookmarkEnd w:id="183"/>
      <w:r>
        <w:rPr>
          <w:rFonts w:hint="eastAsia"/>
        </w:rPr>
        <w:instrText xml:space="preserve">" \l 2</w:instrText>
      </w:r>
      <w:r>
        <w:instrText xml:space="preserve"> </w:instrText>
      </w:r>
      <w:r>
        <w:fldChar w:fldCharType="end"/>
      </w:r>
    </w:p>
    <w:p>
      <w:r>
        <w:rPr>
          <w:rFonts w:hint="eastAsia"/>
          <w:b/>
        </w:rPr>
        <w:t>5.</w:t>
      </w:r>
      <w:r>
        <w:rPr>
          <w:b/>
        </w:rPr>
        <w:t>6</w:t>
      </w:r>
      <w:r>
        <w:rPr>
          <w:rFonts w:hint="eastAsia"/>
          <w:b/>
        </w:rPr>
        <w:t>.1</w:t>
      </w:r>
      <w:r>
        <w:rPr>
          <w:rFonts w:hint="eastAsia"/>
        </w:rPr>
        <w:t xml:space="preserve"> </w:t>
      </w:r>
      <w:r>
        <w:t xml:space="preserve"> </w:t>
      </w:r>
      <w:r>
        <w:rPr>
          <w:rFonts w:hint="eastAsia"/>
        </w:rPr>
        <w:t>需确定预制构件承载力、刚度或抗裂等性能时，可进行构件性能检验。</w:t>
      </w:r>
    </w:p>
    <w:p>
      <w:r>
        <w:rPr>
          <w:rFonts w:hint="eastAsia"/>
          <w:b/>
        </w:rPr>
        <w:t>5</w:t>
      </w:r>
      <w:r>
        <w:rPr>
          <w:b/>
        </w:rPr>
        <w:t>.6.2</w:t>
      </w:r>
      <w:r>
        <w:t xml:space="preserve">  </w:t>
      </w:r>
      <w:r>
        <w:rPr>
          <w:rFonts w:hint="eastAsia"/>
        </w:rPr>
        <w:t>预制构件性能检验应符合下列规定：</w:t>
      </w:r>
    </w:p>
    <w:p>
      <w:pPr>
        <w:ind w:firstLine="316" w:firstLineChars="150"/>
      </w:pPr>
      <w:r>
        <w:rPr>
          <w:rFonts w:hint="eastAsia"/>
          <w:b/>
        </w:rPr>
        <w:t>1</w:t>
      </w:r>
      <w:r>
        <w:t xml:space="preserve"> </w:t>
      </w:r>
      <w:r>
        <w:rPr>
          <w:rFonts w:hint="eastAsia"/>
        </w:rPr>
        <w:t xml:space="preserve"> 受弯构件性能检验应符合现行国家标准《混凝土结构工程施工质量验收规范》GB</w:t>
      </w:r>
      <w:r>
        <w:t xml:space="preserve"> </w:t>
      </w:r>
      <w:r>
        <w:rPr>
          <w:rFonts w:hint="eastAsia"/>
        </w:rPr>
        <w:t>50204的规定。</w:t>
      </w:r>
    </w:p>
    <w:p>
      <w:pPr>
        <w:ind w:firstLine="316" w:firstLineChars="150"/>
      </w:pPr>
      <w:r>
        <w:rPr>
          <w:rFonts w:hint="eastAsia"/>
          <w:b/>
        </w:rPr>
        <w:t>2</w:t>
      </w:r>
      <w:r>
        <w:rPr>
          <w:rFonts w:hint="eastAsia"/>
        </w:rPr>
        <w:t xml:space="preserve"> </w:t>
      </w:r>
      <w:r>
        <w:t xml:space="preserve"> </w:t>
      </w:r>
      <w:r>
        <w:rPr>
          <w:rFonts w:hint="eastAsia"/>
        </w:rPr>
        <w:t>构件性能检验的荷载布置、检验方法和量测方法，应符合现行国家标准《混凝土结构试验方法标准》GB</w:t>
      </w:r>
      <w:r>
        <w:t xml:space="preserve"> </w:t>
      </w:r>
      <w:r>
        <w:rPr>
          <w:rFonts w:hint="eastAsia"/>
        </w:rPr>
        <w:t>50152的规定。</w:t>
      </w:r>
    </w:p>
    <w:p>
      <w:pPr>
        <w:sectPr>
          <w:pgSz w:w="7938" w:h="11510"/>
          <w:pgMar w:top="1083" w:right="1009" w:bottom="1083" w:left="1009" w:header="851" w:footer="992" w:gutter="0"/>
          <w:cols w:space="425" w:num="1"/>
          <w:docGrid w:type="lines" w:linePitch="312" w:charSpace="0"/>
        </w:sectPr>
      </w:pPr>
      <w:r>
        <w:rPr>
          <w:rFonts w:hint="eastAsia"/>
          <w:b/>
        </w:rPr>
        <w:t>5.</w:t>
      </w:r>
      <w:r>
        <w:rPr>
          <w:b/>
        </w:rPr>
        <w:t>6</w:t>
      </w:r>
      <w:r>
        <w:rPr>
          <w:rFonts w:hint="eastAsia"/>
          <w:b/>
        </w:rPr>
        <w:t>.</w:t>
      </w:r>
      <w:r>
        <w:rPr>
          <w:b/>
        </w:rPr>
        <w:t>3</w:t>
      </w:r>
      <w:r>
        <w:rPr>
          <w:rFonts w:hint="eastAsia"/>
        </w:rPr>
        <w:t xml:space="preserve"> </w:t>
      </w:r>
      <w:r>
        <w:t xml:space="preserve"> </w:t>
      </w:r>
      <w:bookmarkStart w:id="184" w:name="_Hlk8736088"/>
      <w:r>
        <w:rPr>
          <w:rFonts w:hint="eastAsia"/>
        </w:rPr>
        <w:t>预制构件饰面砖粘结强度</w:t>
      </w:r>
      <w:bookmarkEnd w:id="184"/>
      <w:r>
        <w:rPr>
          <w:rFonts w:hint="eastAsia"/>
        </w:rPr>
        <w:t>检测应符合现行行业标准《建筑工程饰面砖粘结强度检验标准》JGJ</w:t>
      </w:r>
      <w:r>
        <w:t>/T</w:t>
      </w:r>
      <w:r>
        <w:rPr>
          <w:rFonts w:hint="eastAsia"/>
        </w:rPr>
        <w:t xml:space="preserve"> 110的规定。</w:t>
      </w:r>
    </w:p>
    <w:p>
      <w:pPr>
        <w:pStyle w:val="2"/>
      </w:pPr>
      <w:bookmarkStart w:id="185" w:name="_Toc515373883"/>
      <w:bookmarkStart w:id="186" w:name="_Toc515287979"/>
      <w:bookmarkStart w:id="187" w:name="_Toc521503668"/>
      <w:bookmarkStart w:id="188" w:name="_Toc523216200"/>
      <w:bookmarkStart w:id="189" w:name="_Toc522031101"/>
      <w:bookmarkStart w:id="190" w:name="_Toc522627946"/>
      <w:bookmarkStart w:id="191" w:name="_Toc6318074"/>
      <w:bookmarkStart w:id="192" w:name="_Toc523216658"/>
      <w:bookmarkStart w:id="193" w:name="_Toc6325055"/>
      <w:bookmarkStart w:id="194" w:name="_Toc8736836"/>
      <w:bookmarkStart w:id="195" w:name="_Toc12959530"/>
      <w:bookmarkStart w:id="196" w:name="_Toc12886308"/>
      <w:bookmarkStart w:id="197" w:name="_Toc17273659"/>
      <w:r>
        <w:rPr>
          <w:b/>
        </w:rPr>
        <w:t xml:space="preserve">6  </w:t>
      </w:r>
      <w:bookmarkEnd w:id="185"/>
      <w:bookmarkEnd w:id="186"/>
      <w:bookmarkEnd w:id="187"/>
      <w:r>
        <w:rPr>
          <w:rFonts w:hint="eastAsia"/>
        </w:rPr>
        <w:t>安装与连接质量</w:t>
      </w:r>
      <w:bookmarkEnd w:id="188"/>
      <w:bookmarkEnd w:id="189"/>
      <w:bookmarkEnd w:id="190"/>
      <w:bookmarkEnd w:id="191"/>
      <w:bookmarkEnd w:id="192"/>
      <w:bookmarkEnd w:id="193"/>
      <w:r>
        <w:rPr>
          <w:rFonts w:hint="eastAsia"/>
        </w:rPr>
        <w:t>检测</w:t>
      </w:r>
      <w:bookmarkEnd w:id="194"/>
      <w:bookmarkEnd w:id="195"/>
      <w:bookmarkEnd w:id="196"/>
      <w:bookmarkEnd w:id="197"/>
      <w:r>
        <w:fldChar w:fldCharType="begin"/>
      </w:r>
      <w:r>
        <w:instrText xml:space="preserve"> </w:instrText>
      </w:r>
      <w:r>
        <w:rPr>
          <w:rFonts w:hint="eastAsia"/>
        </w:rPr>
        <w:instrText xml:space="preserve">TC  "</w:instrText>
      </w:r>
      <w:bookmarkStart w:id="198" w:name="_Toc17274699"/>
      <w:r>
        <w:rPr>
          <w:rFonts w:hint="eastAsia"/>
        </w:rPr>
        <w:instrText xml:space="preserve">6  Erection and Connnection Inspection</w:instrText>
      </w:r>
      <w:bookmarkEnd w:id="198"/>
      <w:r>
        <w:rPr>
          <w:rFonts w:hint="eastAsia"/>
        </w:rPr>
        <w:instrText xml:space="preserve">" \l 1</w:instrText>
      </w:r>
      <w:r>
        <w:instrText xml:space="preserve"> </w:instrText>
      </w:r>
      <w:r>
        <w:fldChar w:fldCharType="end"/>
      </w:r>
    </w:p>
    <w:p>
      <w:pPr>
        <w:pStyle w:val="3"/>
      </w:pPr>
      <w:bookmarkStart w:id="199" w:name="_Toc6325056"/>
      <w:bookmarkStart w:id="200" w:name="_Toc6318075"/>
      <w:bookmarkStart w:id="201" w:name="_Toc17273660"/>
      <w:bookmarkStart w:id="202" w:name="_Toc12886309"/>
      <w:bookmarkStart w:id="203" w:name="_Toc8736837"/>
      <w:bookmarkStart w:id="204" w:name="_Toc12959531"/>
      <w:r>
        <w:rPr>
          <w:rFonts w:hint="eastAsia"/>
          <w:b/>
        </w:rPr>
        <w:t>6.1</w:t>
      </w:r>
      <w:r>
        <w:rPr>
          <w:rFonts w:hint="eastAsia"/>
        </w:rPr>
        <w:t xml:space="preserve"> </w:t>
      </w:r>
      <w:r>
        <w:t xml:space="preserve"> </w:t>
      </w:r>
      <w:r>
        <w:rPr>
          <w:rFonts w:hint="eastAsia"/>
        </w:rPr>
        <w:t>一般规定</w:t>
      </w:r>
      <w:bookmarkEnd w:id="199"/>
      <w:bookmarkEnd w:id="200"/>
      <w:bookmarkEnd w:id="201"/>
      <w:bookmarkEnd w:id="202"/>
      <w:bookmarkEnd w:id="203"/>
      <w:bookmarkEnd w:id="204"/>
      <w:r>
        <w:fldChar w:fldCharType="begin"/>
      </w:r>
      <w:r>
        <w:instrText xml:space="preserve"> </w:instrText>
      </w:r>
      <w:r>
        <w:rPr>
          <w:rFonts w:hint="eastAsia"/>
        </w:rPr>
        <w:instrText xml:space="preserve">TC  "</w:instrText>
      </w:r>
      <w:bookmarkStart w:id="205" w:name="_Toc17274700"/>
      <w:r>
        <w:rPr>
          <w:rFonts w:hint="eastAsia"/>
        </w:rPr>
        <w:instrText xml:space="preserve">6.1  General Requirements</w:instrText>
      </w:r>
      <w:bookmarkEnd w:id="205"/>
      <w:r>
        <w:rPr>
          <w:rFonts w:hint="eastAsia"/>
        </w:rPr>
        <w:instrText xml:space="preserve">" \l 2</w:instrText>
      </w:r>
      <w:r>
        <w:instrText xml:space="preserve"> </w:instrText>
      </w:r>
      <w:r>
        <w:fldChar w:fldCharType="end"/>
      </w:r>
    </w:p>
    <w:p>
      <w:bookmarkStart w:id="206" w:name="_Toc6325057"/>
      <w:bookmarkStart w:id="207" w:name="_Toc6318076"/>
      <w:r>
        <w:rPr>
          <w:b/>
        </w:rPr>
        <w:t xml:space="preserve">6.1.1  </w:t>
      </w:r>
      <w:r>
        <w:rPr>
          <w:rFonts w:hint="eastAsia"/>
        </w:rPr>
        <w:t>本章适用于装配式混凝土结构安装与连接质量检测。</w:t>
      </w:r>
    </w:p>
    <w:p>
      <w:r>
        <w:rPr>
          <w:b/>
        </w:rPr>
        <w:t xml:space="preserve">6.1.2  </w:t>
      </w:r>
      <w:r>
        <w:rPr>
          <w:rFonts w:hint="eastAsia"/>
        </w:rPr>
        <w:t>装配式混凝土结构安装与连接质量检测可分为安装尺寸偏差、钢筋连接质量</w:t>
      </w:r>
      <w:r>
        <w:rPr>
          <w:rFonts w:hint="eastAsia"/>
          <w:color w:val="000000" w:themeColor="text1"/>
          <w14:textFill>
            <w14:solidFill>
              <w14:schemeClr w14:val="tx1"/>
            </w14:solidFill>
          </w14:textFill>
        </w:rPr>
        <w:t>、现浇混</w:t>
      </w:r>
      <w:r>
        <w:rPr>
          <w:rFonts w:hint="eastAsia"/>
        </w:rPr>
        <w:t>凝土连接质量等项目。</w:t>
      </w:r>
    </w:p>
    <w:p>
      <w:pPr>
        <w:pStyle w:val="3"/>
      </w:pPr>
      <w:bookmarkStart w:id="208" w:name="_Toc12886310"/>
      <w:bookmarkStart w:id="209" w:name="_Toc8736838"/>
      <w:bookmarkStart w:id="210" w:name="_Toc17273661"/>
      <w:bookmarkStart w:id="211" w:name="_Toc12959532"/>
      <w:r>
        <w:rPr>
          <w:rFonts w:hint="eastAsia"/>
          <w:b/>
        </w:rPr>
        <w:t>6</w:t>
      </w:r>
      <w:r>
        <w:rPr>
          <w:b/>
        </w:rPr>
        <w:t>.2</w:t>
      </w:r>
      <w:r>
        <w:t xml:space="preserve">  </w:t>
      </w:r>
      <w:r>
        <w:rPr>
          <w:rFonts w:hint="eastAsia"/>
        </w:rPr>
        <w:t>安装尺寸偏差</w:t>
      </w:r>
      <w:bookmarkEnd w:id="206"/>
      <w:bookmarkEnd w:id="207"/>
      <w:bookmarkEnd w:id="208"/>
      <w:bookmarkEnd w:id="209"/>
      <w:bookmarkEnd w:id="210"/>
      <w:bookmarkEnd w:id="211"/>
      <w:r>
        <w:fldChar w:fldCharType="begin"/>
      </w:r>
      <w:r>
        <w:instrText xml:space="preserve"> TC  "</w:instrText>
      </w:r>
      <w:bookmarkStart w:id="212" w:name="_Toc17274701"/>
      <w:r>
        <w:instrText xml:space="preserve">6.2  Tolerances of Erection</w:instrText>
      </w:r>
      <w:bookmarkEnd w:id="212"/>
      <w:r>
        <w:instrText xml:space="preserve"> " \l 2 </w:instrText>
      </w:r>
      <w:r>
        <w:fldChar w:fldCharType="end"/>
      </w:r>
    </w:p>
    <w:p>
      <w:bookmarkStart w:id="213" w:name="_Toc6325058"/>
      <w:bookmarkStart w:id="214" w:name="_Toc6318077"/>
      <w:r>
        <w:rPr>
          <w:b/>
        </w:rPr>
        <w:t>6.2.</w:t>
      </w:r>
      <w:r>
        <w:rPr>
          <w:rFonts w:hint="eastAsia"/>
          <w:b/>
        </w:rPr>
        <w:t>1</w:t>
      </w:r>
      <w:r>
        <w:rPr>
          <w:b/>
        </w:rPr>
        <w:t xml:space="preserve">  </w:t>
      </w:r>
      <w:r>
        <w:rPr>
          <w:rFonts w:hint="eastAsia"/>
        </w:rPr>
        <w:t>装配式混凝土结构构件安装尺寸偏差及检测方法应符合表6.2.1的规定。</w:t>
      </w:r>
    </w:p>
    <w:p>
      <w:pPr>
        <w:spacing w:line="240" w:lineRule="auto"/>
        <w:jc w:val="center"/>
        <w:rPr>
          <w:rFonts w:eastAsia="黑体"/>
          <w:sz w:val="18"/>
          <w:szCs w:val="18"/>
        </w:rPr>
      </w:pPr>
      <w:r>
        <w:rPr>
          <w:rFonts w:eastAsia="黑体"/>
          <w:sz w:val="18"/>
          <w:szCs w:val="18"/>
        </w:rPr>
        <w:t>表</w:t>
      </w:r>
      <w:r>
        <w:rPr>
          <w:rFonts w:eastAsia="黑体"/>
          <w:b/>
          <w:sz w:val="18"/>
          <w:szCs w:val="18"/>
        </w:rPr>
        <w:t>6.2.1</w:t>
      </w:r>
      <w:r>
        <w:rPr>
          <w:rFonts w:eastAsia="黑体"/>
          <w:sz w:val="18"/>
          <w:szCs w:val="18"/>
        </w:rPr>
        <w:t xml:space="preserve">  装配式混凝土结构构件安装尺寸允许偏差及检测方法</w:t>
      </w:r>
    </w:p>
    <w:tbl>
      <w:tblPr>
        <w:tblStyle w:val="26"/>
        <w:tblW w:w="5900" w:type="dxa"/>
        <w:jc w:val="center"/>
        <w:tblInd w:w="0" w:type="dxa"/>
        <w:tblLayout w:type="fixed"/>
        <w:tblCellMar>
          <w:top w:w="0" w:type="dxa"/>
          <w:left w:w="108" w:type="dxa"/>
          <w:bottom w:w="0" w:type="dxa"/>
          <w:right w:w="108" w:type="dxa"/>
        </w:tblCellMar>
      </w:tblPr>
      <w:tblGrid>
        <w:gridCol w:w="1127"/>
        <w:gridCol w:w="849"/>
        <w:gridCol w:w="850"/>
        <w:gridCol w:w="1416"/>
        <w:gridCol w:w="1658"/>
      </w:tblGrid>
      <w:tr>
        <w:tblPrEx>
          <w:tblLayout w:type="fixed"/>
          <w:tblCellMar>
            <w:top w:w="0" w:type="dxa"/>
            <w:left w:w="108" w:type="dxa"/>
            <w:bottom w:w="0" w:type="dxa"/>
            <w:right w:w="108" w:type="dxa"/>
          </w:tblCellMar>
        </w:tblPrEx>
        <w:trPr>
          <w:trHeight w:val="340" w:hRule="atLeast"/>
          <w:tblHeader/>
          <w:jc w:val="center"/>
        </w:trPr>
        <w:tc>
          <w:tcPr>
            <w:tcW w:w="282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项目</w:t>
            </w:r>
          </w:p>
        </w:tc>
        <w:tc>
          <w:tcPr>
            <w:tcW w:w="1416" w:type="dxa"/>
            <w:tcBorders>
              <w:top w:val="single" w:color="auto" w:sz="8" w:space="0"/>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允许偏差（mm）</w:t>
            </w:r>
          </w:p>
        </w:tc>
        <w:tc>
          <w:tcPr>
            <w:tcW w:w="1658" w:type="dxa"/>
            <w:tcBorders>
              <w:top w:val="single" w:color="auto" w:sz="8" w:space="0"/>
              <w:left w:val="nil"/>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检验方法</w:t>
            </w:r>
          </w:p>
        </w:tc>
      </w:tr>
      <w:tr>
        <w:tblPrEx>
          <w:tblLayout w:type="fixed"/>
          <w:tblCellMar>
            <w:top w:w="0" w:type="dxa"/>
            <w:left w:w="108" w:type="dxa"/>
            <w:bottom w:w="0" w:type="dxa"/>
            <w:right w:w="108" w:type="dxa"/>
          </w:tblCellMar>
        </w:tblPrEx>
        <w:trPr>
          <w:trHeight w:val="340" w:hRule="atLeast"/>
          <w:jc w:val="center"/>
        </w:trPr>
        <w:tc>
          <w:tcPr>
            <w:tcW w:w="1127" w:type="dxa"/>
            <w:vMerge w:val="restart"/>
            <w:tcBorders>
              <w:top w:val="nil"/>
              <w:left w:val="single" w:color="auto" w:sz="8" w:space="0"/>
              <w:bottom w:val="single" w:color="auto" w:sz="4" w:space="0"/>
              <w:right w:val="single" w:color="auto" w:sz="4" w:space="0"/>
            </w:tcBorders>
            <w:shd w:val="clear" w:color="auto" w:fill="auto"/>
            <w:vAlign w:val="center"/>
          </w:tcPr>
          <w:p>
            <w:pPr>
              <w:spacing w:line="240" w:lineRule="exact"/>
              <w:contextualSpacing/>
              <w:jc w:val="center"/>
              <w:rPr>
                <w:sz w:val="15"/>
                <w:szCs w:val="15"/>
              </w:rPr>
            </w:pPr>
            <w:r>
              <w:rPr>
                <w:sz w:val="15"/>
                <w:szCs w:val="15"/>
              </w:rPr>
              <w:t>构件中心线对轴线位置</w:t>
            </w: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基础</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15</w:t>
            </w:r>
          </w:p>
        </w:tc>
        <w:tc>
          <w:tcPr>
            <w:tcW w:w="1658" w:type="dxa"/>
            <w:vMerge w:val="restart"/>
            <w:tcBorders>
              <w:top w:val="nil"/>
              <w:left w:val="single" w:color="auto" w:sz="4" w:space="0"/>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经纬仪及尺量</w:t>
            </w: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柱、墙、桁架</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8</w:t>
            </w:r>
          </w:p>
        </w:tc>
        <w:tc>
          <w:tcPr>
            <w:tcW w:w="1658" w:type="dxa"/>
            <w:vMerge w:val="continue"/>
            <w:tcBorders>
              <w:top w:val="nil"/>
              <w:left w:val="single" w:color="auto" w:sz="4" w:space="0"/>
              <w:bottom w:val="single" w:color="auto"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梁、板</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vMerge w:val="continue"/>
            <w:tcBorders>
              <w:top w:val="nil"/>
              <w:left w:val="single" w:color="auto" w:sz="4" w:space="0"/>
              <w:bottom w:val="single" w:color="auto"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510" w:hRule="atLeast"/>
          <w:jc w:val="center"/>
        </w:trPr>
        <w:tc>
          <w:tcPr>
            <w:tcW w:w="1127" w:type="dxa"/>
            <w:tcBorders>
              <w:top w:val="nil"/>
              <w:left w:val="single" w:color="auto" w:sz="8" w:space="0"/>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构件标高</w:t>
            </w: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contextualSpacing/>
              <w:jc w:val="center"/>
              <w:rPr>
                <w:sz w:val="15"/>
                <w:szCs w:val="15"/>
              </w:rPr>
            </w:pPr>
            <w:r>
              <w:rPr>
                <w:sz w:val="15"/>
                <w:szCs w:val="15"/>
              </w:rPr>
              <w:t>梁、柱、墙、板底面或顶面</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tcBorders>
              <w:top w:val="nil"/>
              <w:left w:val="nil"/>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水准仪或拉线、尺量</w:t>
            </w:r>
          </w:p>
        </w:tc>
      </w:tr>
      <w:tr>
        <w:tblPrEx>
          <w:tblLayout w:type="fixed"/>
          <w:tblCellMar>
            <w:top w:w="0" w:type="dxa"/>
            <w:left w:w="108" w:type="dxa"/>
            <w:bottom w:w="0" w:type="dxa"/>
            <w:right w:w="108" w:type="dxa"/>
          </w:tblCellMar>
        </w:tblPrEx>
        <w:trPr>
          <w:trHeight w:val="340" w:hRule="atLeast"/>
          <w:jc w:val="center"/>
        </w:trPr>
        <w:tc>
          <w:tcPr>
            <w:tcW w:w="1127" w:type="dxa"/>
            <w:vMerge w:val="restart"/>
            <w:tcBorders>
              <w:top w:val="nil"/>
              <w:left w:val="single" w:color="auto" w:sz="8" w:space="0"/>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构件垂直度</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exact"/>
              <w:contextualSpacing/>
              <w:jc w:val="center"/>
              <w:rPr>
                <w:sz w:val="15"/>
                <w:szCs w:val="15"/>
              </w:rPr>
            </w:pPr>
            <w:r>
              <w:rPr>
                <w:sz w:val="15"/>
                <w:szCs w:val="15"/>
              </w:rPr>
              <w:t>柱、墙安装后高度</w:t>
            </w:r>
          </w:p>
        </w:tc>
        <w:tc>
          <w:tcPr>
            <w:tcW w:w="850"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≤6m</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vMerge w:val="restart"/>
            <w:tcBorders>
              <w:top w:val="nil"/>
              <w:left w:val="single" w:color="auto" w:sz="4" w:space="0"/>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经纬仪或吊线、尺量</w:t>
            </w: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849" w:type="dxa"/>
            <w:vMerge w:val="continue"/>
            <w:tcBorders>
              <w:top w:val="nil"/>
              <w:left w:val="single" w:color="auto" w:sz="4" w:space="0"/>
              <w:bottom w:val="single" w:color="auto" w:sz="4" w:space="0"/>
              <w:right w:val="single" w:color="auto" w:sz="4" w:space="0"/>
            </w:tcBorders>
            <w:vAlign w:val="center"/>
          </w:tcPr>
          <w:p>
            <w:pPr>
              <w:spacing w:line="240" w:lineRule="auto"/>
              <w:contextualSpacing/>
              <w:jc w:val="center"/>
              <w:rPr>
                <w:sz w:val="15"/>
                <w:szCs w:val="15"/>
              </w:rPr>
            </w:pPr>
          </w:p>
        </w:tc>
        <w:tc>
          <w:tcPr>
            <w:tcW w:w="850"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＞6m</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10</w:t>
            </w:r>
          </w:p>
        </w:tc>
        <w:tc>
          <w:tcPr>
            <w:tcW w:w="1658" w:type="dxa"/>
            <w:vMerge w:val="continue"/>
            <w:tcBorders>
              <w:top w:val="nil"/>
              <w:left w:val="single" w:color="auto" w:sz="4" w:space="0"/>
              <w:bottom w:val="single" w:color="auto"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340" w:hRule="atLeast"/>
          <w:jc w:val="center"/>
        </w:trPr>
        <w:tc>
          <w:tcPr>
            <w:tcW w:w="1127" w:type="dxa"/>
            <w:tcBorders>
              <w:top w:val="nil"/>
              <w:left w:val="single" w:color="auto" w:sz="8" w:space="0"/>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构件倾斜度</w:t>
            </w: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梁、桁架</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tcBorders>
              <w:top w:val="nil"/>
              <w:left w:val="nil"/>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经纬仪或吊线、尺量</w:t>
            </w:r>
          </w:p>
        </w:tc>
      </w:tr>
      <w:tr>
        <w:tblPrEx>
          <w:tblLayout w:type="fixed"/>
          <w:tblCellMar>
            <w:top w:w="0" w:type="dxa"/>
            <w:left w:w="108" w:type="dxa"/>
            <w:bottom w:w="0" w:type="dxa"/>
            <w:right w:w="108" w:type="dxa"/>
          </w:tblCellMar>
        </w:tblPrEx>
        <w:trPr>
          <w:trHeight w:val="340" w:hRule="atLeast"/>
          <w:jc w:val="center"/>
        </w:trPr>
        <w:tc>
          <w:tcPr>
            <w:tcW w:w="1127" w:type="dxa"/>
            <w:vMerge w:val="restart"/>
            <w:tcBorders>
              <w:top w:val="nil"/>
              <w:left w:val="single" w:color="auto" w:sz="8" w:space="0"/>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相邻构件平整度</w:t>
            </w: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板端面</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vMerge w:val="restart"/>
            <w:tcBorders>
              <w:top w:val="nil"/>
              <w:left w:val="single" w:color="auto" w:sz="4" w:space="0"/>
              <w:bottom w:val="single" w:color="000000"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2m靠尺和塞尺量测</w:t>
            </w: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exact"/>
              <w:contextualSpacing/>
              <w:jc w:val="center"/>
              <w:rPr>
                <w:sz w:val="15"/>
                <w:szCs w:val="15"/>
              </w:rPr>
            </w:pPr>
            <w:r>
              <w:rPr>
                <w:sz w:val="15"/>
                <w:szCs w:val="15"/>
              </w:rPr>
              <w:t>梁、板</w:t>
            </w:r>
          </w:p>
          <w:p>
            <w:pPr>
              <w:spacing w:line="240" w:lineRule="exact"/>
              <w:contextualSpacing/>
              <w:jc w:val="center"/>
              <w:rPr>
                <w:sz w:val="15"/>
                <w:szCs w:val="15"/>
              </w:rPr>
            </w:pPr>
            <w:r>
              <w:rPr>
                <w:sz w:val="15"/>
                <w:szCs w:val="15"/>
              </w:rPr>
              <w:t>底面</w:t>
            </w:r>
          </w:p>
        </w:tc>
        <w:tc>
          <w:tcPr>
            <w:tcW w:w="850"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外露</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3</w:t>
            </w:r>
          </w:p>
        </w:tc>
        <w:tc>
          <w:tcPr>
            <w:tcW w:w="1658" w:type="dxa"/>
            <w:vMerge w:val="continue"/>
            <w:tcBorders>
              <w:top w:val="nil"/>
              <w:left w:val="single" w:color="auto" w:sz="4" w:space="0"/>
              <w:bottom w:val="single" w:color="000000"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849" w:type="dxa"/>
            <w:vMerge w:val="continue"/>
            <w:tcBorders>
              <w:top w:val="nil"/>
              <w:left w:val="single" w:color="auto" w:sz="4" w:space="0"/>
              <w:bottom w:val="single" w:color="auto" w:sz="4" w:space="0"/>
              <w:right w:val="single" w:color="auto" w:sz="4" w:space="0"/>
            </w:tcBorders>
            <w:vAlign w:val="center"/>
          </w:tcPr>
          <w:p>
            <w:pPr>
              <w:spacing w:line="240" w:lineRule="exact"/>
              <w:contextualSpacing/>
              <w:jc w:val="center"/>
              <w:rPr>
                <w:sz w:val="15"/>
                <w:szCs w:val="15"/>
              </w:rPr>
            </w:pPr>
          </w:p>
        </w:tc>
        <w:tc>
          <w:tcPr>
            <w:tcW w:w="850"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不外露</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vMerge w:val="continue"/>
            <w:tcBorders>
              <w:top w:val="nil"/>
              <w:left w:val="single" w:color="auto" w:sz="4" w:space="0"/>
              <w:bottom w:val="single" w:color="000000"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exact"/>
              <w:contextualSpacing/>
              <w:jc w:val="center"/>
              <w:rPr>
                <w:sz w:val="15"/>
                <w:szCs w:val="15"/>
              </w:rPr>
            </w:pPr>
            <w:r>
              <w:rPr>
                <w:sz w:val="15"/>
                <w:szCs w:val="15"/>
              </w:rPr>
              <w:t>柱、墙</w:t>
            </w:r>
          </w:p>
          <w:p>
            <w:pPr>
              <w:spacing w:line="240" w:lineRule="exact"/>
              <w:contextualSpacing/>
              <w:jc w:val="center"/>
              <w:rPr>
                <w:sz w:val="15"/>
                <w:szCs w:val="15"/>
              </w:rPr>
            </w:pPr>
            <w:r>
              <w:rPr>
                <w:sz w:val="15"/>
                <w:szCs w:val="15"/>
              </w:rPr>
              <w:t>侧面</w:t>
            </w:r>
          </w:p>
        </w:tc>
        <w:tc>
          <w:tcPr>
            <w:tcW w:w="850"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外露</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vMerge w:val="continue"/>
            <w:tcBorders>
              <w:top w:val="nil"/>
              <w:left w:val="single" w:color="auto" w:sz="4" w:space="0"/>
              <w:bottom w:val="single" w:color="000000"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8" w:space="0"/>
              <w:bottom w:val="single" w:color="auto" w:sz="4" w:space="0"/>
              <w:right w:val="single" w:color="auto" w:sz="4" w:space="0"/>
            </w:tcBorders>
            <w:vAlign w:val="center"/>
          </w:tcPr>
          <w:p>
            <w:pPr>
              <w:spacing w:line="240" w:lineRule="auto"/>
              <w:contextualSpacing/>
              <w:jc w:val="center"/>
              <w:rPr>
                <w:sz w:val="15"/>
                <w:szCs w:val="15"/>
              </w:rPr>
            </w:pPr>
          </w:p>
        </w:tc>
        <w:tc>
          <w:tcPr>
            <w:tcW w:w="849" w:type="dxa"/>
            <w:vMerge w:val="continue"/>
            <w:tcBorders>
              <w:top w:val="nil"/>
              <w:left w:val="single" w:color="auto" w:sz="4" w:space="0"/>
              <w:bottom w:val="single" w:color="auto" w:sz="4" w:space="0"/>
              <w:right w:val="single" w:color="auto" w:sz="4" w:space="0"/>
            </w:tcBorders>
            <w:vAlign w:val="center"/>
          </w:tcPr>
          <w:p>
            <w:pPr>
              <w:spacing w:line="240" w:lineRule="auto"/>
              <w:contextualSpacing/>
              <w:jc w:val="center"/>
              <w:rPr>
                <w:sz w:val="15"/>
                <w:szCs w:val="15"/>
              </w:rPr>
            </w:pPr>
          </w:p>
        </w:tc>
        <w:tc>
          <w:tcPr>
            <w:tcW w:w="850"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不外露</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8</w:t>
            </w:r>
          </w:p>
        </w:tc>
        <w:tc>
          <w:tcPr>
            <w:tcW w:w="1658" w:type="dxa"/>
            <w:vMerge w:val="continue"/>
            <w:tcBorders>
              <w:top w:val="nil"/>
              <w:left w:val="single" w:color="auto" w:sz="4" w:space="0"/>
              <w:bottom w:val="single" w:color="000000" w:sz="4" w:space="0"/>
              <w:right w:val="single" w:color="auto" w:sz="8" w:space="0"/>
            </w:tcBorders>
            <w:vAlign w:val="center"/>
          </w:tcPr>
          <w:p>
            <w:pPr>
              <w:spacing w:line="240" w:lineRule="auto"/>
              <w:contextualSpacing/>
              <w:jc w:val="center"/>
              <w:rPr>
                <w:sz w:val="15"/>
                <w:szCs w:val="15"/>
              </w:rPr>
            </w:pPr>
          </w:p>
        </w:tc>
      </w:tr>
      <w:tr>
        <w:tblPrEx>
          <w:tblLayout w:type="fixed"/>
          <w:tblCellMar>
            <w:top w:w="0" w:type="dxa"/>
            <w:left w:w="108" w:type="dxa"/>
            <w:bottom w:w="0" w:type="dxa"/>
            <w:right w:w="108" w:type="dxa"/>
          </w:tblCellMar>
        </w:tblPrEx>
        <w:trPr>
          <w:trHeight w:val="340" w:hRule="atLeast"/>
          <w:jc w:val="center"/>
        </w:trPr>
        <w:tc>
          <w:tcPr>
            <w:tcW w:w="1127" w:type="dxa"/>
            <w:tcBorders>
              <w:top w:val="nil"/>
              <w:left w:val="single" w:color="auto" w:sz="8" w:space="0"/>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构件搁置长度</w:t>
            </w:r>
          </w:p>
        </w:tc>
        <w:tc>
          <w:tcPr>
            <w:tcW w:w="1699"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auto"/>
              <w:contextualSpacing/>
              <w:jc w:val="center"/>
              <w:rPr>
                <w:sz w:val="15"/>
                <w:szCs w:val="15"/>
              </w:rPr>
            </w:pPr>
            <w:r>
              <w:rPr>
                <w:sz w:val="15"/>
                <w:szCs w:val="15"/>
              </w:rPr>
              <w:t>梁、板</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±10</w:t>
            </w:r>
          </w:p>
        </w:tc>
        <w:tc>
          <w:tcPr>
            <w:tcW w:w="1658" w:type="dxa"/>
            <w:tcBorders>
              <w:top w:val="nil"/>
              <w:left w:val="nil"/>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尺量</w:t>
            </w:r>
          </w:p>
        </w:tc>
      </w:tr>
      <w:tr>
        <w:tblPrEx>
          <w:tblLayout w:type="fixed"/>
          <w:tblCellMar>
            <w:top w:w="0" w:type="dxa"/>
            <w:left w:w="108" w:type="dxa"/>
            <w:bottom w:w="0" w:type="dxa"/>
            <w:right w:w="108" w:type="dxa"/>
          </w:tblCellMar>
        </w:tblPrEx>
        <w:trPr>
          <w:trHeight w:val="510" w:hRule="atLeast"/>
          <w:jc w:val="center"/>
        </w:trPr>
        <w:tc>
          <w:tcPr>
            <w:tcW w:w="1127" w:type="dxa"/>
            <w:tcBorders>
              <w:top w:val="nil"/>
              <w:left w:val="single" w:color="auto" w:sz="8" w:space="0"/>
              <w:bottom w:val="single" w:color="auto" w:sz="4" w:space="0"/>
              <w:right w:val="single" w:color="auto" w:sz="4" w:space="0"/>
            </w:tcBorders>
            <w:shd w:val="clear" w:color="auto" w:fill="auto"/>
            <w:vAlign w:val="center"/>
          </w:tcPr>
          <w:p>
            <w:pPr>
              <w:spacing w:line="240" w:lineRule="exact"/>
              <w:contextualSpacing/>
              <w:jc w:val="center"/>
              <w:rPr>
                <w:sz w:val="15"/>
                <w:szCs w:val="15"/>
              </w:rPr>
            </w:pPr>
            <w:r>
              <w:rPr>
                <w:sz w:val="15"/>
                <w:szCs w:val="15"/>
              </w:rPr>
              <w:t>支座、支垫中心位置</w:t>
            </w:r>
          </w:p>
        </w:tc>
        <w:tc>
          <w:tcPr>
            <w:tcW w:w="1699"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exact"/>
              <w:contextualSpacing/>
              <w:jc w:val="center"/>
              <w:rPr>
                <w:sz w:val="15"/>
                <w:szCs w:val="15"/>
              </w:rPr>
            </w:pPr>
            <w:r>
              <w:rPr>
                <w:sz w:val="15"/>
                <w:szCs w:val="15"/>
              </w:rPr>
              <w:t>板、梁、柱、墙、桁架</w:t>
            </w:r>
          </w:p>
        </w:tc>
        <w:tc>
          <w:tcPr>
            <w:tcW w:w="1416" w:type="dxa"/>
            <w:tcBorders>
              <w:top w:val="nil"/>
              <w:left w:val="nil"/>
              <w:bottom w:val="single" w:color="auto" w:sz="4" w:space="0"/>
              <w:right w:val="single" w:color="auto" w:sz="4" w:space="0"/>
            </w:tcBorders>
            <w:shd w:val="clear" w:color="auto" w:fill="auto"/>
            <w:vAlign w:val="center"/>
          </w:tcPr>
          <w:p>
            <w:pPr>
              <w:spacing w:line="240" w:lineRule="auto"/>
              <w:contextualSpacing/>
              <w:jc w:val="center"/>
              <w:rPr>
                <w:sz w:val="15"/>
                <w:szCs w:val="15"/>
              </w:rPr>
            </w:pPr>
            <w:r>
              <w:rPr>
                <w:sz w:val="15"/>
                <w:szCs w:val="15"/>
              </w:rPr>
              <w:t>10</w:t>
            </w:r>
          </w:p>
        </w:tc>
        <w:tc>
          <w:tcPr>
            <w:tcW w:w="1658" w:type="dxa"/>
            <w:tcBorders>
              <w:top w:val="nil"/>
              <w:left w:val="nil"/>
              <w:bottom w:val="single" w:color="auto" w:sz="4" w:space="0"/>
              <w:right w:val="single" w:color="auto" w:sz="8" w:space="0"/>
            </w:tcBorders>
            <w:shd w:val="clear" w:color="auto" w:fill="auto"/>
            <w:vAlign w:val="center"/>
          </w:tcPr>
          <w:p>
            <w:pPr>
              <w:spacing w:line="240" w:lineRule="auto"/>
              <w:contextualSpacing/>
              <w:jc w:val="center"/>
              <w:rPr>
                <w:sz w:val="15"/>
                <w:szCs w:val="15"/>
              </w:rPr>
            </w:pPr>
            <w:r>
              <w:rPr>
                <w:sz w:val="15"/>
                <w:szCs w:val="15"/>
              </w:rPr>
              <w:t>尺量</w:t>
            </w:r>
          </w:p>
        </w:tc>
      </w:tr>
      <w:tr>
        <w:tblPrEx>
          <w:tblLayout w:type="fixed"/>
          <w:tblCellMar>
            <w:top w:w="0" w:type="dxa"/>
            <w:left w:w="108" w:type="dxa"/>
            <w:bottom w:w="0" w:type="dxa"/>
            <w:right w:w="108" w:type="dxa"/>
          </w:tblCellMar>
        </w:tblPrEx>
        <w:trPr>
          <w:trHeight w:val="340" w:hRule="atLeast"/>
          <w:jc w:val="center"/>
        </w:trPr>
        <w:tc>
          <w:tcPr>
            <w:tcW w:w="1127" w:type="dxa"/>
            <w:tcBorders>
              <w:top w:val="nil"/>
              <w:left w:val="single" w:color="auto" w:sz="8" w:space="0"/>
              <w:bottom w:val="single" w:color="auto" w:sz="8" w:space="0"/>
              <w:right w:val="single" w:color="auto" w:sz="4" w:space="0"/>
            </w:tcBorders>
            <w:shd w:val="clear" w:color="auto" w:fill="auto"/>
            <w:vAlign w:val="center"/>
          </w:tcPr>
          <w:p>
            <w:pPr>
              <w:spacing w:line="240" w:lineRule="auto"/>
              <w:contextualSpacing/>
              <w:jc w:val="center"/>
              <w:rPr>
                <w:sz w:val="15"/>
                <w:szCs w:val="15"/>
              </w:rPr>
            </w:pPr>
            <w:r>
              <w:rPr>
                <w:sz w:val="15"/>
                <w:szCs w:val="15"/>
              </w:rPr>
              <w:t>墙板接缝</w:t>
            </w:r>
          </w:p>
        </w:tc>
        <w:tc>
          <w:tcPr>
            <w:tcW w:w="1699" w:type="dxa"/>
            <w:gridSpan w:val="2"/>
            <w:tcBorders>
              <w:top w:val="single" w:color="auto" w:sz="4" w:space="0"/>
              <w:left w:val="nil"/>
              <w:bottom w:val="single" w:color="auto" w:sz="8" w:space="0"/>
              <w:right w:val="single" w:color="000000" w:sz="4" w:space="0"/>
            </w:tcBorders>
            <w:shd w:val="clear" w:color="auto" w:fill="auto"/>
            <w:vAlign w:val="center"/>
          </w:tcPr>
          <w:p>
            <w:pPr>
              <w:spacing w:line="240" w:lineRule="auto"/>
              <w:contextualSpacing/>
              <w:jc w:val="center"/>
              <w:rPr>
                <w:sz w:val="15"/>
                <w:szCs w:val="15"/>
              </w:rPr>
            </w:pPr>
            <w:r>
              <w:rPr>
                <w:sz w:val="15"/>
                <w:szCs w:val="15"/>
              </w:rPr>
              <w:t>宽度</w:t>
            </w:r>
          </w:p>
        </w:tc>
        <w:tc>
          <w:tcPr>
            <w:tcW w:w="1416" w:type="dxa"/>
            <w:tcBorders>
              <w:top w:val="nil"/>
              <w:left w:val="nil"/>
              <w:bottom w:val="single" w:color="auto" w:sz="8" w:space="0"/>
              <w:right w:val="single" w:color="auto" w:sz="4" w:space="0"/>
            </w:tcBorders>
            <w:shd w:val="clear" w:color="auto" w:fill="auto"/>
            <w:vAlign w:val="center"/>
          </w:tcPr>
          <w:p>
            <w:pPr>
              <w:spacing w:line="240" w:lineRule="auto"/>
              <w:contextualSpacing/>
              <w:jc w:val="center"/>
              <w:rPr>
                <w:sz w:val="15"/>
                <w:szCs w:val="15"/>
              </w:rPr>
            </w:pPr>
            <w:r>
              <w:rPr>
                <w:sz w:val="15"/>
                <w:szCs w:val="15"/>
              </w:rPr>
              <w:t>±5</w:t>
            </w:r>
          </w:p>
        </w:tc>
        <w:tc>
          <w:tcPr>
            <w:tcW w:w="1658" w:type="dxa"/>
            <w:tcBorders>
              <w:top w:val="nil"/>
              <w:left w:val="nil"/>
              <w:bottom w:val="single" w:color="auto" w:sz="8" w:space="0"/>
              <w:right w:val="single" w:color="auto" w:sz="8" w:space="0"/>
            </w:tcBorders>
            <w:shd w:val="clear" w:color="auto" w:fill="auto"/>
            <w:vAlign w:val="center"/>
          </w:tcPr>
          <w:p>
            <w:pPr>
              <w:spacing w:line="240" w:lineRule="auto"/>
              <w:contextualSpacing/>
              <w:jc w:val="center"/>
              <w:rPr>
                <w:sz w:val="15"/>
                <w:szCs w:val="15"/>
              </w:rPr>
            </w:pPr>
            <w:r>
              <w:rPr>
                <w:sz w:val="15"/>
                <w:szCs w:val="15"/>
              </w:rPr>
              <w:t>尺量</w:t>
            </w:r>
          </w:p>
        </w:tc>
      </w:tr>
    </w:tbl>
    <w:p>
      <w:pPr>
        <w:pStyle w:val="3"/>
        <w:rPr>
          <w:color w:val="000000" w:themeColor="text1"/>
          <w14:textFill>
            <w14:solidFill>
              <w14:schemeClr w14:val="tx1"/>
            </w14:solidFill>
          </w14:textFill>
        </w:rPr>
      </w:pPr>
      <w:bookmarkStart w:id="215" w:name="_Toc8736839"/>
      <w:bookmarkStart w:id="216" w:name="_Toc12886311"/>
      <w:bookmarkStart w:id="217" w:name="_Toc12959533"/>
      <w:bookmarkStart w:id="218" w:name="_Toc17273662"/>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color w:val="000000" w:themeColor="text1"/>
          <w14:textFill>
            <w14:solidFill>
              <w14:schemeClr w14:val="tx1"/>
            </w14:solidFill>
          </w14:textFill>
        </w:rPr>
        <w:t xml:space="preserve">  </w:t>
      </w:r>
      <w:bookmarkEnd w:id="213"/>
      <w:bookmarkEnd w:id="214"/>
      <w:r>
        <w:rPr>
          <w:rFonts w:hint="eastAsia"/>
          <w:color w:val="000000" w:themeColor="text1"/>
          <w14:textFill>
            <w14:solidFill>
              <w14:schemeClr w14:val="tx1"/>
            </w14:solidFill>
          </w14:textFill>
        </w:rPr>
        <w:t>钢筋连接质量</w:t>
      </w:r>
      <w:bookmarkEnd w:id="215"/>
      <w:bookmarkEnd w:id="216"/>
      <w:bookmarkEnd w:id="217"/>
      <w:bookmarkEnd w:id="21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TC  "</w:instrText>
      </w:r>
      <w:bookmarkStart w:id="219" w:name="_Toc17274702"/>
      <w:r>
        <w:rPr>
          <w:rFonts w:hint="eastAsia"/>
          <w:color w:val="000000" w:themeColor="text1"/>
          <w14:textFill>
            <w14:solidFill>
              <w14:schemeClr w14:val="tx1"/>
            </w14:solidFill>
          </w14:textFill>
        </w:rPr>
        <w:instrText xml:space="preserve">6.3  Quality for Reinforcement Connection</w:instrText>
      </w:r>
      <w:bookmarkEnd w:id="219"/>
      <w:r>
        <w:rPr>
          <w:rFonts w:hint="eastAsia"/>
          <w:color w:val="000000" w:themeColor="text1"/>
          <w14:textFill>
            <w14:solidFill>
              <w14:schemeClr w14:val="tx1"/>
            </w14:solidFill>
          </w14:textFill>
        </w:rPr>
        <w:instrText xml:space="preserve">" \l 2</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end"/>
      </w:r>
    </w:p>
    <w:p>
      <w:bookmarkStart w:id="220" w:name="_Toc6325059"/>
      <w:bookmarkStart w:id="221" w:name="_Toc6318078"/>
      <w:r>
        <w:rPr>
          <w:rFonts w:hint="eastAsia"/>
          <w:b/>
        </w:rPr>
        <w:t>6.3.1</w:t>
      </w:r>
      <w:r>
        <w:rPr>
          <w:rFonts w:hint="eastAsia"/>
        </w:rPr>
        <w:t xml:space="preserve"> </w:t>
      </w:r>
      <w:r>
        <w:t xml:space="preserve"> </w:t>
      </w:r>
      <w:r>
        <w:rPr>
          <w:rFonts w:hint="eastAsia"/>
        </w:rPr>
        <w:t>钢筋采用灌浆套筒连接时，接头强度应在工地现场制作平行试件并进行抗拉强度检测，检测方法应符合现行行业标准《钢筋套筒灌浆连接应用技术规程》JGJ 355的规定。</w:t>
      </w:r>
    </w:p>
    <w:p>
      <w:pPr>
        <w:rPr>
          <w:rFonts w:ascii="宋体" w:hAnsi="宋体"/>
          <w:strike/>
          <w:color w:val="0000FF"/>
        </w:rPr>
      </w:pPr>
      <w:r>
        <w:rPr>
          <w:rFonts w:hint="eastAsia"/>
          <w:b/>
        </w:rPr>
        <w:t>6.3.2</w:t>
      </w:r>
      <w:r>
        <w:rPr>
          <w:rFonts w:hint="eastAsia"/>
        </w:rPr>
        <w:t xml:space="preserve"> </w:t>
      </w:r>
      <w:r>
        <w:t xml:space="preserve"> </w:t>
      </w:r>
      <w:r>
        <w:rPr>
          <w:rFonts w:hint="eastAsia"/>
        </w:rPr>
        <w:t>钢筋采用焊接连接时，接头强度检测方法应符合现行行业标准《钢筋焊接及验收规程》JGJ 18的规定。</w:t>
      </w:r>
    </w:p>
    <w:p>
      <w:pPr>
        <w:rPr>
          <w:rFonts w:ascii="宋体" w:hAnsi="宋体"/>
          <w:b/>
          <w:color w:val="0000FF"/>
        </w:rPr>
      </w:pPr>
      <w:r>
        <w:rPr>
          <w:b/>
        </w:rPr>
        <w:t>6.</w:t>
      </w:r>
      <w:r>
        <w:rPr>
          <w:rFonts w:hint="eastAsia"/>
          <w:b/>
        </w:rPr>
        <w:t>3</w:t>
      </w:r>
      <w:r>
        <w:rPr>
          <w:b/>
        </w:rPr>
        <w:t>.</w:t>
      </w:r>
      <w:r>
        <w:rPr>
          <w:rFonts w:hint="eastAsia"/>
          <w:b/>
        </w:rPr>
        <w:t>3</w:t>
      </w:r>
      <w:r>
        <w:rPr>
          <w:b/>
        </w:rPr>
        <w:t xml:space="preserve">  </w:t>
      </w:r>
      <w:r>
        <w:rPr>
          <w:rFonts w:hint="eastAsia"/>
        </w:rPr>
        <w:t>钢筋采用机械连接时，接头强度检测方法应符合现行行业标准《钢筋机械连接技术规程》JGJ 107的规定。</w:t>
      </w:r>
    </w:p>
    <w:p>
      <w:pPr>
        <w:pStyle w:val="3"/>
        <w:rPr>
          <w:highlight w:val="yellow"/>
        </w:rPr>
      </w:pPr>
      <w:bookmarkStart w:id="222" w:name="_Toc8736840"/>
      <w:bookmarkStart w:id="223" w:name="_Toc12886312"/>
      <w:bookmarkStart w:id="224" w:name="_Toc12959534"/>
      <w:bookmarkStart w:id="225" w:name="_Toc17273663"/>
      <w:r>
        <w:rPr>
          <w:rFonts w:hint="eastAsia"/>
          <w:b/>
        </w:rPr>
        <w:t>6</w:t>
      </w:r>
      <w:r>
        <w:rPr>
          <w:b/>
        </w:rPr>
        <w:t>.</w:t>
      </w:r>
      <w:r>
        <w:rPr>
          <w:rFonts w:hint="eastAsia"/>
          <w:b/>
        </w:rPr>
        <w:t>4</w:t>
      </w:r>
      <w:r>
        <w:t xml:space="preserve">  </w:t>
      </w:r>
      <w:bookmarkEnd w:id="220"/>
      <w:bookmarkEnd w:id="221"/>
      <w:r>
        <w:rPr>
          <w:rFonts w:hint="eastAsia"/>
        </w:rPr>
        <w:t>钢筋套筒灌浆连接与浆锚搭接连接质量</w:t>
      </w:r>
      <w:bookmarkEnd w:id="222"/>
      <w:bookmarkEnd w:id="223"/>
      <w:bookmarkEnd w:id="224"/>
      <w:bookmarkEnd w:id="225"/>
      <w:r>
        <w:fldChar w:fldCharType="begin"/>
      </w:r>
      <w:r>
        <w:instrText xml:space="preserve"> </w:instrText>
      </w:r>
      <w:r>
        <w:rPr>
          <w:rFonts w:hint="eastAsia"/>
        </w:rPr>
        <w:instrText xml:space="preserve">TC  "</w:instrText>
      </w:r>
      <w:bookmarkStart w:id="226" w:name="_Toc17274703"/>
      <w:r>
        <w:rPr>
          <w:rFonts w:hint="eastAsia"/>
        </w:rPr>
        <w:instrText xml:space="preserve">6.4  </w:instrText>
      </w:r>
      <w:r>
        <w:instrText xml:space="preserve">Q</w:instrText>
      </w:r>
      <w:r>
        <w:rPr>
          <w:rFonts w:hint="eastAsia"/>
        </w:rPr>
        <w:instrText xml:space="preserve">uality of </w:instrText>
      </w:r>
      <w:r>
        <w:instrText xml:space="preserve">G</w:instrText>
      </w:r>
      <w:r>
        <w:rPr>
          <w:rFonts w:hint="eastAsia"/>
        </w:rPr>
        <w:instrText xml:space="preserve">rout </w:instrText>
      </w:r>
      <w:r>
        <w:instrText xml:space="preserve">S</w:instrText>
      </w:r>
      <w:r>
        <w:rPr>
          <w:rFonts w:hint="eastAsia"/>
        </w:rPr>
        <w:instrText xml:space="preserve">leeve </w:instrText>
      </w:r>
      <w:r>
        <w:instrText xml:space="preserve">S</w:instrText>
      </w:r>
      <w:r>
        <w:rPr>
          <w:rFonts w:hint="eastAsia"/>
        </w:rPr>
        <w:instrText xml:space="preserve">plicing of </w:instrText>
      </w:r>
      <w:r>
        <w:instrText xml:space="preserve">R</w:instrText>
      </w:r>
      <w:r>
        <w:rPr>
          <w:rFonts w:hint="eastAsia"/>
        </w:rPr>
        <w:instrText xml:space="preserve">ebars and Grouting </w:instrText>
      </w:r>
      <w:r>
        <w:instrText xml:space="preserve">A</w:instrText>
      </w:r>
      <w:r>
        <w:rPr>
          <w:rFonts w:hint="eastAsia"/>
        </w:rPr>
        <w:instrText xml:space="preserve">nchor </w:instrText>
      </w:r>
      <w:r>
        <w:instrText xml:space="preserve">L</w:instrText>
      </w:r>
      <w:r>
        <w:rPr>
          <w:rFonts w:hint="eastAsia"/>
        </w:rPr>
        <w:instrText xml:space="preserve">apped </w:instrText>
      </w:r>
      <w:r>
        <w:instrText xml:space="preserve">S</w:instrText>
      </w:r>
      <w:r>
        <w:rPr>
          <w:rFonts w:hint="eastAsia"/>
        </w:rPr>
        <w:instrText xml:space="preserve">plices</w:instrText>
      </w:r>
      <w:bookmarkEnd w:id="226"/>
      <w:r>
        <w:rPr>
          <w:rFonts w:hint="eastAsia"/>
        </w:rPr>
        <w:instrText xml:space="preserve">" \l 2</w:instrText>
      </w:r>
      <w:r>
        <w:instrText xml:space="preserve"> </w:instrText>
      </w:r>
      <w:r>
        <w:fldChar w:fldCharType="end"/>
      </w:r>
    </w:p>
    <w:p>
      <w:pPr>
        <w:rPr>
          <w:b/>
          <w:strike/>
        </w:rPr>
      </w:pPr>
      <w:bookmarkStart w:id="227" w:name="_Toc6325060"/>
      <w:bookmarkStart w:id="228" w:name="_Toc6318079"/>
      <w:r>
        <w:rPr>
          <w:rFonts w:hint="eastAsia"/>
          <w:b/>
        </w:rPr>
        <w:t>6.4.1</w:t>
      </w:r>
      <w:r>
        <w:rPr>
          <w:rFonts w:hint="eastAsia"/>
        </w:rPr>
        <w:t xml:space="preserve"> </w:t>
      </w:r>
      <w:r>
        <w:t xml:space="preserve"> </w:t>
      </w:r>
      <w:r>
        <w:rPr>
          <w:rFonts w:hint="eastAsia"/>
          <w:color w:val="000000" w:themeColor="text1"/>
          <w14:textFill>
            <w14:solidFill>
              <w14:schemeClr w14:val="tx1"/>
            </w14:solidFill>
          </w14:textFill>
        </w:rPr>
        <w:t>钢筋采用套筒灌浆连接时，灌浆应饱满、密实，其材料及连接质量应符合国家现行行业标准《钢筋套筒灌浆连接应用技术规程》JGJ 355的有关规定。</w:t>
      </w:r>
    </w:p>
    <w:p>
      <w:r>
        <w:rPr>
          <w:rFonts w:hint="eastAsia"/>
          <w:b/>
        </w:rPr>
        <w:t xml:space="preserve">6.4.2 </w:t>
      </w:r>
      <w:r>
        <w:rPr>
          <w:b/>
        </w:rPr>
        <w:t xml:space="preserve"> </w:t>
      </w:r>
      <w:r>
        <w:rPr>
          <w:rFonts w:hint="eastAsia"/>
        </w:rPr>
        <w:t>套筒灌浆饱满度检测可采用预埋传感器法、X射线法等，采用预埋传感器法时，可按本标准附录D执行；采用X射线法时，</w:t>
      </w:r>
    </w:p>
    <w:p>
      <w:r>
        <w:rPr>
          <w:rFonts w:hint="eastAsia"/>
        </w:rPr>
        <w:t>应符合现行行业标准《装配式住宅建筑检测技术标准》JGJ/T *****的规定。</w:t>
      </w:r>
    </w:p>
    <w:p>
      <w:r>
        <w:rPr>
          <w:rFonts w:hint="eastAsia"/>
          <w:b/>
        </w:rPr>
        <w:t>6.4.3</w:t>
      </w:r>
      <w:r>
        <w:rPr>
          <w:rFonts w:hint="eastAsia"/>
        </w:rPr>
        <w:t xml:space="preserve"> </w:t>
      </w:r>
      <w:r>
        <w:t xml:space="preserve"> </w:t>
      </w:r>
      <w:r>
        <w:rPr>
          <w:rFonts w:hint="eastAsia"/>
        </w:rPr>
        <w:t>套筒灌浆料饱满度检测数量应符合下列规定：</w:t>
      </w:r>
    </w:p>
    <w:p>
      <w:pPr>
        <w:ind w:firstLine="316" w:firstLineChars="150"/>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首层同类型构件抽检20%且不少于2个，其它层同类型构件选择10%且不少于1个；</w:t>
      </w:r>
    </w:p>
    <w:p>
      <w:pPr>
        <w:ind w:firstLine="316" w:firstLineChars="150"/>
        <w:rPr>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外墙板、梁、柱构件每个灌浆仓抽检套筒总数的20%且不少于3个，同时制作不少于1个平行试件进行破损验证检测；被测套筒应包含注浆口处套筒、距离注浆口套筒最远处的套筒以及二者之间任意一个套筒。</w:t>
      </w:r>
    </w:p>
    <w:p>
      <w:pPr>
        <w:ind w:firstLine="316" w:firstLineChars="150"/>
        <w:rPr>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内墙板每个灌浆仓抽检套筒总数的10%且不少于3个，同时制作不少于1个平行试件进行破损验证检测；被测套筒应包含注浆口处套筒、距离注浆口套筒最远处的套筒。</w:t>
      </w:r>
    </w:p>
    <w:p>
      <w:pPr>
        <w:ind w:firstLine="316" w:firstLineChars="150"/>
      </w:pPr>
      <w:r>
        <w:rPr>
          <w:rFonts w:hint="eastAsia"/>
          <w:b/>
        </w:rPr>
        <w:t>4</w:t>
      </w:r>
      <w:r>
        <w:rPr>
          <w:rFonts w:hint="eastAsia"/>
        </w:rPr>
        <w:t xml:space="preserve"> </w:t>
      </w:r>
      <w:r>
        <w:t xml:space="preserve"> </w:t>
      </w:r>
      <w:r>
        <w:rPr>
          <w:rFonts w:hint="eastAsia"/>
        </w:rPr>
        <w:t>设计认为重要的构件，所有套筒均应进行灌浆饱满度检测。</w:t>
      </w:r>
    </w:p>
    <w:p>
      <w:pPr>
        <w:ind w:firstLine="225" w:firstLineChars="150"/>
        <w:rPr>
          <w:sz w:val="15"/>
          <w:szCs w:val="15"/>
        </w:rPr>
      </w:pPr>
      <w:r>
        <w:rPr>
          <w:rFonts w:hint="eastAsia"/>
          <w:sz w:val="15"/>
          <w:szCs w:val="15"/>
        </w:rPr>
        <w:t>注：“同类型”是指同一混凝土强度等级、同一生产工艺和同一结构形式。</w:t>
      </w:r>
    </w:p>
    <w:p>
      <w:r>
        <w:rPr>
          <w:rFonts w:hint="eastAsia"/>
          <w:b/>
        </w:rPr>
        <w:t>6.4.4</w:t>
      </w:r>
      <w:r>
        <w:rPr>
          <w:rFonts w:hint="eastAsia"/>
        </w:rPr>
        <w:t xml:space="preserve"> </w:t>
      </w:r>
      <w:r>
        <w:t xml:space="preserve"> </w:t>
      </w:r>
      <w:r>
        <w:rPr>
          <w:rFonts w:hint="eastAsia"/>
        </w:rPr>
        <w:t>钢筋采用浆锚搭接连接时，灌浆应饱满、密实，其材料及连接质量应符合现行国家标准《水泥基灌浆材料应用技术规范》GB/T</w:t>
      </w:r>
      <w:r>
        <w:t xml:space="preserve"> </w:t>
      </w:r>
      <w:r>
        <w:rPr>
          <w:rFonts w:hint="eastAsia"/>
        </w:rPr>
        <w:t>50488的规定。</w:t>
      </w:r>
    </w:p>
    <w:p>
      <w:r>
        <w:rPr>
          <w:rFonts w:hint="eastAsia"/>
          <w:b/>
        </w:rPr>
        <w:t xml:space="preserve">6.4.5 </w:t>
      </w:r>
      <w:r>
        <w:t xml:space="preserve"> </w:t>
      </w:r>
      <w:r>
        <w:rPr>
          <w:rFonts w:hint="eastAsia"/>
        </w:rPr>
        <w:t>浆锚搭接连接质量可采用X射线法结合局部破损检测方法检测，检测要求应符合现行行业标准《装配式住宅建筑检测技术标准》JGJ/T *****的规定。</w:t>
      </w:r>
    </w:p>
    <w:p>
      <w:r>
        <w:rPr>
          <w:rFonts w:hint="eastAsia"/>
          <w:b/>
        </w:rPr>
        <w:t>6.4.6</w:t>
      </w:r>
      <w:r>
        <w:rPr>
          <w:rFonts w:hint="eastAsia"/>
        </w:rPr>
        <w:t xml:space="preserve"> </w:t>
      </w:r>
      <w:r>
        <w:t xml:space="preserve"> </w:t>
      </w:r>
      <w:r>
        <w:rPr>
          <w:rFonts w:hint="eastAsia"/>
        </w:rPr>
        <w:t>浆锚孔道灌浆密实性检测数量应符合下列规定：</w:t>
      </w:r>
    </w:p>
    <w:p>
      <w:pPr>
        <w:ind w:firstLine="316" w:firstLineChars="150"/>
      </w:pPr>
      <w:r>
        <w:rPr>
          <w:b/>
          <w:bCs/>
        </w:rPr>
        <w:t>1</w:t>
      </w:r>
      <w:r>
        <w:t xml:space="preserve">  </w:t>
      </w:r>
      <w:r>
        <w:rPr>
          <w:rFonts w:hint="eastAsia"/>
        </w:rPr>
        <w:t>验收检测时，抽检楼层不少总楼层数的10%，每层抽检孔道数量不少5个；</w:t>
      </w:r>
    </w:p>
    <w:p>
      <w:pPr>
        <w:ind w:firstLine="316" w:firstLineChars="150"/>
      </w:pPr>
      <w:r>
        <w:rPr>
          <w:b/>
          <w:bCs/>
        </w:rPr>
        <w:t>2</w:t>
      </w:r>
      <w:r>
        <w:t xml:space="preserve">  </w:t>
      </w:r>
      <w:r>
        <w:rPr>
          <w:rFonts w:hint="eastAsia"/>
        </w:rPr>
        <w:t>工程质量检测时，检验批按楼层划分，每个批次抽检数量不少于该层孔道数量的5%。</w:t>
      </w:r>
    </w:p>
    <w:p>
      <w:pPr>
        <w:pStyle w:val="3"/>
      </w:pPr>
      <w:bookmarkStart w:id="229" w:name="_Toc8736841"/>
      <w:bookmarkStart w:id="230" w:name="_Toc12886313"/>
      <w:bookmarkStart w:id="231" w:name="_Toc12959535"/>
      <w:bookmarkStart w:id="232" w:name="_Toc17273664"/>
      <w:r>
        <w:rPr>
          <w:rFonts w:hint="eastAsia"/>
          <w:b/>
        </w:rPr>
        <w:t>6</w:t>
      </w:r>
      <w:r>
        <w:rPr>
          <w:b/>
        </w:rPr>
        <w:t>.</w:t>
      </w:r>
      <w:r>
        <w:rPr>
          <w:rFonts w:hint="eastAsia"/>
          <w:b/>
        </w:rPr>
        <w:t>5</w:t>
      </w:r>
      <w:r>
        <w:t xml:space="preserve">  </w:t>
      </w:r>
      <w:bookmarkEnd w:id="227"/>
      <w:bookmarkEnd w:id="228"/>
      <w:r>
        <w:rPr>
          <w:rFonts w:hint="eastAsia"/>
        </w:rPr>
        <w:t>预制剪力墙底部接缝灌浆质量</w:t>
      </w:r>
      <w:bookmarkEnd w:id="229"/>
      <w:bookmarkEnd w:id="230"/>
      <w:bookmarkEnd w:id="231"/>
      <w:bookmarkEnd w:id="232"/>
      <w:r>
        <w:fldChar w:fldCharType="begin"/>
      </w:r>
      <w:r>
        <w:instrText xml:space="preserve"> </w:instrText>
      </w:r>
      <w:r>
        <w:rPr>
          <w:rFonts w:hint="eastAsia"/>
        </w:rPr>
        <w:instrText xml:space="preserve">TC  "</w:instrText>
      </w:r>
      <w:bookmarkStart w:id="233" w:name="_Toc17274704"/>
      <w:r>
        <w:rPr>
          <w:rFonts w:hint="eastAsia"/>
        </w:rPr>
        <w:instrText xml:space="preserve">6.5  </w:instrText>
      </w:r>
      <w:r>
        <w:instrText xml:space="preserve">G</w:instrText>
      </w:r>
      <w:r>
        <w:rPr>
          <w:rFonts w:hint="eastAsia"/>
        </w:rPr>
        <w:instrText xml:space="preserve">rout </w:instrText>
      </w:r>
      <w:r>
        <w:instrText xml:space="preserve">Q</w:instrText>
      </w:r>
      <w:r>
        <w:rPr>
          <w:rFonts w:hint="eastAsia"/>
        </w:rPr>
        <w:instrText xml:space="preserve">uality for </w:instrText>
      </w:r>
      <w:r>
        <w:instrText xml:space="preserve">B</w:instrText>
      </w:r>
      <w:r>
        <w:rPr>
          <w:rFonts w:hint="eastAsia"/>
        </w:rPr>
        <w:instrText xml:space="preserve">ottom </w:instrText>
      </w:r>
      <w:r>
        <w:instrText xml:space="preserve">S</w:instrText>
      </w:r>
      <w:r>
        <w:rPr>
          <w:rFonts w:hint="eastAsia"/>
        </w:rPr>
        <w:instrText xml:space="preserve">eam of </w:instrText>
      </w:r>
      <w:r>
        <w:instrText xml:space="preserve">P</w:instrText>
      </w:r>
      <w:r>
        <w:rPr>
          <w:rFonts w:hint="eastAsia"/>
        </w:rPr>
        <w:instrText xml:space="preserve">re-</w:instrText>
      </w:r>
      <w:r>
        <w:instrText xml:space="preserve">C</w:instrText>
      </w:r>
      <w:r>
        <w:rPr>
          <w:rFonts w:hint="eastAsia"/>
        </w:rPr>
        <w:instrText xml:space="preserve">ast </w:instrText>
      </w:r>
      <w:r>
        <w:instrText xml:space="preserve">S</w:instrText>
      </w:r>
      <w:r>
        <w:rPr>
          <w:rFonts w:hint="eastAsia"/>
        </w:rPr>
        <w:instrText xml:space="preserve">hear </w:instrText>
      </w:r>
      <w:r>
        <w:instrText xml:space="preserve">W</w:instrText>
      </w:r>
      <w:r>
        <w:rPr>
          <w:rFonts w:hint="eastAsia"/>
        </w:rPr>
        <w:instrText xml:space="preserve">all</w:instrText>
      </w:r>
      <w:bookmarkEnd w:id="233"/>
      <w:r>
        <w:rPr>
          <w:rFonts w:hint="eastAsia"/>
        </w:rPr>
        <w:instrText xml:space="preserve">" \l 2</w:instrText>
      </w:r>
      <w:r>
        <w:instrText xml:space="preserve"> </w:instrText>
      </w:r>
      <w:r>
        <w:fldChar w:fldCharType="end"/>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6.5.1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预制剪力墙底部接缝灌浆质量检测方法及数量</w:t>
      </w:r>
      <w:bookmarkStart w:id="234" w:name="_Hlk16671055"/>
      <w:r>
        <w:rPr>
          <w:rFonts w:hint="eastAsia"/>
          <w:color w:val="000000" w:themeColor="text1"/>
          <w14:textFill>
            <w14:solidFill>
              <w14:schemeClr w14:val="tx1"/>
            </w14:solidFill>
          </w14:textFill>
        </w:rPr>
        <w:t>应符合</w:t>
      </w:r>
      <w:bookmarkEnd w:id="234"/>
      <w:r>
        <w:rPr>
          <w:rFonts w:hint="eastAsia"/>
          <w:color w:val="000000" w:themeColor="text1"/>
          <w14:textFill>
            <w14:solidFill>
              <w14:schemeClr w14:val="tx1"/>
            </w14:solidFill>
          </w14:textFill>
        </w:rPr>
        <w:t>现行广东省标准《装配式混凝土建筑工程施工质量验收规范》DBJ</w:t>
      </w:r>
      <w:r>
        <w:rPr>
          <w:color w:val="000000" w:themeColor="text1"/>
          <w14:textFill>
            <w14:solidFill>
              <w14:schemeClr w14:val="tx1"/>
            </w14:solidFill>
          </w14:textFill>
        </w:rPr>
        <w:t>/T 15-171</w:t>
      </w:r>
      <w:r>
        <w:rPr>
          <w:rFonts w:hint="eastAsia"/>
          <w:color w:val="000000" w:themeColor="text1"/>
          <w14:textFill>
            <w14:solidFill>
              <w14:schemeClr w14:val="tx1"/>
            </w14:solidFill>
          </w14:textFill>
        </w:rPr>
        <w:t>的规定。</w:t>
      </w:r>
    </w:p>
    <w:p>
      <w:pPr>
        <w:pStyle w:val="3"/>
      </w:pPr>
      <w:bookmarkStart w:id="235" w:name="_Toc12959536"/>
      <w:bookmarkStart w:id="236" w:name="_Toc17273665"/>
      <w:bookmarkStart w:id="237" w:name="_Toc8736842"/>
      <w:bookmarkStart w:id="238" w:name="_Toc12886314"/>
      <w:r>
        <w:rPr>
          <w:rFonts w:hint="eastAsia"/>
          <w:b/>
        </w:rPr>
        <w:t>6.6</w:t>
      </w:r>
      <w:r>
        <w:rPr>
          <w:rFonts w:hint="eastAsia"/>
        </w:rPr>
        <w:t xml:space="preserve"> </w:t>
      </w:r>
      <w:r>
        <w:t xml:space="preserve"> </w:t>
      </w:r>
      <w:r>
        <w:rPr>
          <w:rFonts w:hint="eastAsia"/>
        </w:rPr>
        <w:t>叠合构件及双面叠合剪力墙空腔内现浇混凝土质量</w:t>
      </w:r>
      <w:bookmarkEnd w:id="235"/>
      <w:bookmarkEnd w:id="236"/>
      <w:bookmarkEnd w:id="237"/>
      <w:bookmarkEnd w:id="238"/>
    </w:p>
    <w:p>
      <w:pPr>
        <w:rPr>
          <w:color w:val="000000" w:themeColor="text1"/>
          <w14:textFill>
            <w14:solidFill>
              <w14:schemeClr w14:val="tx1"/>
            </w14:solidFill>
          </w14:textFill>
        </w:rPr>
      </w:pPr>
      <w:r>
        <w:rPr>
          <w:b/>
        </w:rPr>
        <w:t>6.</w:t>
      </w:r>
      <w:r>
        <w:rPr>
          <w:rFonts w:hint="eastAsia"/>
          <w:b/>
        </w:rPr>
        <w:t>6</w:t>
      </w:r>
      <w:r>
        <w:rPr>
          <w:b/>
        </w:rPr>
        <w:t>.</w:t>
      </w:r>
      <w:r>
        <w:rPr>
          <w:rFonts w:hint="eastAsia"/>
          <w:b/>
        </w:rPr>
        <w:t>1</w:t>
      </w:r>
      <w:r>
        <w:rPr>
          <w:b/>
        </w:rPr>
        <w:t xml:space="preserve">  </w:t>
      </w:r>
      <w:r>
        <w:rPr>
          <w:rFonts w:hint="eastAsia"/>
        </w:rPr>
        <w:t>叠合构件及双面叠合剪力墙空腔内现浇混凝土质量可采用相</w:t>
      </w:r>
      <w:r>
        <w:rPr>
          <w:rFonts w:hint="eastAsia"/>
          <w:color w:val="000000" w:themeColor="text1"/>
          <w14:textFill>
            <w14:solidFill>
              <w14:schemeClr w14:val="tx1"/>
            </w14:solidFill>
          </w14:textFill>
        </w:rPr>
        <w:t>控阵成像法、超声法、冲击回波法等非破损方法；必要时可采用局部破损检测方法对非破损的检测结果进行验证，采用相控阵成像法和超声法检测混凝土内部缺陷时，应分别符合附录</w:t>
      </w:r>
      <w:r>
        <w:rPr>
          <w:rFonts w:hint="eastAsia"/>
        </w:rPr>
        <w:t>A</w:t>
      </w:r>
      <w:r>
        <w:rPr>
          <w:rFonts w:hint="eastAsia"/>
          <w:color w:val="000000" w:themeColor="text1"/>
          <w14:textFill>
            <w14:solidFill>
              <w14:schemeClr w14:val="tx1"/>
            </w14:solidFill>
          </w14:textFill>
        </w:rPr>
        <w:t>和《超声法检测混凝土缺陷技术规程》CECS 21的规定。</w:t>
      </w:r>
    </w:p>
    <w:p>
      <w:pPr>
        <w:rPr>
          <w:strike/>
          <w:color w:val="FF0000"/>
        </w:rPr>
      </w:pPr>
      <w:r>
        <w:rPr>
          <w:rFonts w:hint="eastAsia"/>
          <w:b/>
          <w:color w:val="000000" w:themeColor="text1"/>
          <w14:textFill>
            <w14:solidFill>
              <w14:schemeClr w14:val="tx1"/>
            </w14:solidFill>
          </w14:textFill>
        </w:rPr>
        <w:t>6.6.2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双面叠合剪力墙空腔内现浇混凝土质量抽检数量应符合广东省标准《装配式混凝土建筑工程施工质量验收规范》DBJ</w:t>
      </w:r>
      <w:r>
        <w:rPr>
          <w:color w:val="000000" w:themeColor="text1"/>
          <w14:textFill>
            <w14:solidFill>
              <w14:schemeClr w14:val="tx1"/>
            </w14:solidFill>
          </w14:textFill>
        </w:rPr>
        <w:t>/T 15-171</w:t>
      </w:r>
      <w:r>
        <w:rPr>
          <w:rFonts w:hint="eastAsia"/>
          <w:color w:val="000000" w:themeColor="text1"/>
          <w14:textFill>
            <w14:solidFill>
              <w14:schemeClr w14:val="tx1"/>
            </w14:solidFill>
          </w14:textFill>
        </w:rPr>
        <w:t>的规定。</w:t>
      </w:r>
    </w:p>
    <w:p>
      <w:pPr>
        <w:rPr>
          <w:b/>
        </w:rPr>
        <w:sectPr>
          <w:pgSz w:w="7938" w:h="11510"/>
          <w:pgMar w:top="1083" w:right="1009" w:bottom="1083" w:left="1009" w:header="851" w:footer="992" w:gutter="0"/>
          <w:cols w:space="425" w:num="1"/>
          <w:docGrid w:type="lines" w:linePitch="312" w:charSpace="0"/>
        </w:sectPr>
      </w:pPr>
    </w:p>
    <w:p>
      <w:pPr>
        <w:pStyle w:val="2"/>
      </w:pPr>
      <w:bookmarkStart w:id="239" w:name="_Toc515287983"/>
      <w:bookmarkStart w:id="240" w:name="_Toc515373887"/>
      <w:bookmarkStart w:id="241" w:name="_Toc521503672"/>
      <w:bookmarkStart w:id="242" w:name="_Toc522031102"/>
      <w:bookmarkStart w:id="243" w:name="_Toc522627947"/>
      <w:bookmarkStart w:id="244" w:name="_Toc523216201"/>
      <w:bookmarkStart w:id="245" w:name="_Toc523216659"/>
      <w:bookmarkStart w:id="246" w:name="_Toc6318080"/>
      <w:bookmarkStart w:id="247" w:name="_Toc6325061"/>
      <w:bookmarkStart w:id="248" w:name="_Toc8736843"/>
      <w:bookmarkStart w:id="249" w:name="_Toc12886315"/>
      <w:bookmarkStart w:id="250" w:name="_Toc12959537"/>
      <w:bookmarkStart w:id="251" w:name="_Toc17273666"/>
      <w:r>
        <w:rPr>
          <w:b/>
        </w:rPr>
        <w:t xml:space="preserve">7 </w:t>
      </w:r>
      <w:r>
        <w:t xml:space="preserve"> </w:t>
      </w:r>
      <w:bookmarkEnd w:id="239"/>
      <w:bookmarkEnd w:id="240"/>
      <w:bookmarkEnd w:id="241"/>
      <w:bookmarkEnd w:id="242"/>
      <w:bookmarkEnd w:id="243"/>
      <w:bookmarkEnd w:id="244"/>
      <w:bookmarkEnd w:id="245"/>
      <w:bookmarkEnd w:id="246"/>
      <w:bookmarkEnd w:id="247"/>
      <w:r>
        <w:rPr>
          <w:rFonts w:hint="eastAsia"/>
        </w:rPr>
        <w:t>结构实体与整体性检验</w:t>
      </w:r>
      <w:bookmarkEnd w:id="248"/>
      <w:bookmarkEnd w:id="249"/>
      <w:bookmarkEnd w:id="250"/>
      <w:bookmarkEnd w:id="251"/>
      <w:r>
        <w:fldChar w:fldCharType="begin"/>
      </w:r>
      <w:r>
        <w:instrText xml:space="preserve"> </w:instrText>
      </w:r>
      <w:r>
        <w:rPr>
          <w:rFonts w:hint="eastAsia"/>
        </w:rPr>
        <w:instrText xml:space="preserve">TC  "</w:instrText>
      </w:r>
      <w:bookmarkStart w:id="252" w:name="_Toc17274705"/>
      <w:r>
        <w:rPr>
          <w:rFonts w:hint="eastAsia"/>
        </w:rPr>
        <w:instrText xml:space="preserve">7  Entitative Inspection of Concrete Structure</w:instrText>
      </w:r>
      <w:bookmarkEnd w:id="252"/>
      <w:r>
        <w:rPr>
          <w:rFonts w:hint="eastAsia"/>
        </w:rPr>
        <w:instrText xml:space="preserve">" \l 1</w:instrText>
      </w:r>
      <w:r>
        <w:instrText xml:space="preserve"> </w:instrText>
      </w:r>
      <w:r>
        <w:fldChar w:fldCharType="end"/>
      </w:r>
    </w:p>
    <w:p>
      <w:pPr>
        <w:pStyle w:val="3"/>
      </w:pPr>
      <w:bookmarkStart w:id="253" w:name="_Toc523216202"/>
      <w:bookmarkStart w:id="254" w:name="_Toc523216660"/>
      <w:bookmarkStart w:id="255" w:name="_Toc6318081"/>
      <w:bookmarkStart w:id="256" w:name="_Toc6325062"/>
      <w:bookmarkStart w:id="257" w:name="_Toc8736844"/>
      <w:bookmarkStart w:id="258" w:name="_Toc12886316"/>
      <w:bookmarkStart w:id="259" w:name="_Toc12959538"/>
      <w:bookmarkStart w:id="260" w:name="_Toc17273667"/>
      <w:r>
        <w:rPr>
          <w:rFonts w:hint="eastAsia"/>
          <w:b/>
        </w:rPr>
        <w:t>7.1</w:t>
      </w:r>
      <w:r>
        <w:rPr>
          <w:rFonts w:hint="eastAsia"/>
        </w:rPr>
        <w:t xml:space="preserve">  一般规定</w:t>
      </w:r>
      <w:bookmarkEnd w:id="253"/>
      <w:bookmarkEnd w:id="254"/>
      <w:bookmarkEnd w:id="255"/>
      <w:bookmarkEnd w:id="256"/>
      <w:bookmarkEnd w:id="257"/>
      <w:bookmarkEnd w:id="258"/>
      <w:bookmarkEnd w:id="259"/>
      <w:bookmarkEnd w:id="260"/>
      <w:r>
        <w:fldChar w:fldCharType="begin"/>
      </w:r>
      <w:r>
        <w:instrText xml:space="preserve"> </w:instrText>
      </w:r>
      <w:r>
        <w:rPr>
          <w:rFonts w:hint="eastAsia"/>
        </w:rPr>
        <w:instrText xml:space="preserve">TC  "</w:instrText>
      </w:r>
      <w:bookmarkStart w:id="261" w:name="_Toc17274706"/>
      <w:r>
        <w:rPr>
          <w:rFonts w:hint="eastAsia"/>
        </w:rPr>
        <w:instrText xml:space="preserve">7.1  General Requirements</w:instrText>
      </w:r>
      <w:bookmarkEnd w:id="261"/>
      <w:r>
        <w:rPr>
          <w:rFonts w:hint="eastAsia"/>
        </w:rPr>
        <w:instrText xml:space="preserve">" \l 2</w:instrText>
      </w:r>
      <w:r>
        <w:instrText xml:space="preserve"> </w:instrText>
      </w:r>
      <w:r>
        <w:fldChar w:fldCharType="end"/>
      </w:r>
    </w:p>
    <w:p>
      <w:r>
        <w:rPr>
          <w:rFonts w:hint="eastAsia"/>
          <w:b/>
        </w:rPr>
        <w:t>7.1.1</w:t>
      </w:r>
      <w:r>
        <w:rPr>
          <w:rFonts w:hint="eastAsia"/>
        </w:rPr>
        <w:t xml:space="preserve">  本章适用于装配式混凝土结构现浇部分实体检验</w:t>
      </w:r>
      <w:r>
        <w:rPr>
          <w:rFonts w:hint="eastAsia"/>
          <w:color w:val="000000"/>
        </w:rPr>
        <w:t>及装配式混凝土结构整体性能检验</w:t>
      </w:r>
      <w:r>
        <w:rPr>
          <w:rFonts w:hint="eastAsia"/>
        </w:rPr>
        <w:t>。</w:t>
      </w:r>
    </w:p>
    <w:p>
      <w:r>
        <w:rPr>
          <w:rFonts w:hint="eastAsia"/>
          <w:b/>
        </w:rPr>
        <w:t>7.1.2</w:t>
      </w:r>
      <w:r>
        <w:rPr>
          <w:rFonts w:hint="eastAsia"/>
        </w:rPr>
        <w:t xml:space="preserve">  装配式混凝土结构现浇部分实体检验应符合现行国家、行业相关标准的规定。</w:t>
      </w:r>
    </w:p>
    <w:p>
      <w:pPr>
        <w:pStyle w:val="3"/>
      </w:pPr>
      <w:bookmarkStart w:id="262" w:name="_Toc523216203"/>
      <w:bookmarkStart w:id="263" w:name="_Toc523216661"/>
      <w:bookmarkStart w:id="264" w:name="_Toc6318082"/>
      <w:bookmarkStart w:id="265" w:name="_Toc6325063"/>
      <w:bookmarkStart w:id="266" w:name="_Toc8736845"/>
      <w:bookmarkStart w:id="267" w:name="_Toc12886317"/>
      <w:bookmarkStart w:id="268" w:name="_Toc12959539"/>
      <w:bookmarkStart w:id="269" w:name="_Toc17273668"/>
      <w:bookmarkStart w:id="270" w:name="_Hlk523214024"/>
      <w:r>
        <w:rPr>
          <w:rFonts w:hint="eastAsia"/>
          <w:b/>
        </w:rPr>
        <w:t>7.2</w:t>
      </w:r>
      <w:r>
        <w:rPr>
          <w:rFonts w:hint="eastAsia"/>
        </w:rPr>
        <w:t xml:space="preserve">  装配式混凝土结构现浇部分实体</w:t>
      </w:r>
      <w:bookmarkEnd w:id="262"/>
      <w:bookmarkEnd w:id="263"/>
      <w:bookmarkEnd w:id="264"/>
      <w:bookmarkEnd w:id="265"/>
      <w:r>
        <w:rPr>
          <w:rFonts w:hint="eastAsia"/>
        </w:rPr>
        <w:t>检验</w:t>
      </w:r>
      <w:bookmarkEnd w:id="266"/>
      <w:bookmarkEnd w:id="267"/>
      <w:bookmarkEnd w:id="268"/>
      <w:bookmarkEnd w:id="269"/>
      <w:r>
        <w:fldChar w:fldCharType="begin"/>
      </w:r>
      <w:r>
        <w:instrText xml:space="preserve"> </w:instrText>
      </w:r>
      <w:r>
        <w:rPr>
          <w:rFonts w:hint="eastAsia"/>
        </w:rPr>
        <w:instrText xml:space="preserve">TC  "</w:instrText>
      </w:r>
      <w:bookmarkStart w:id="271" w:name="_Toc17274707"/>
      <w:r>
        <w:rPr>
          <w:rFonts w:hint="eastAsia"/>
        </w:rPr>
        <w:instrText xml:space="preserve">7.2  </w:instrText>
      </w:r>
      <w:r>
        <w:instrText xml:space="preserve">E</w:instrText>
      </w:r>
      <w:r>
        <w:rPr>
          <w:rFonts w:hint="eastAsia"/>
        </w:rPr>
        <w:instrText xml:space="preserve">ntitative </w:instrText>
      </w:r>
      <w:r>
        <w:instrText xml:space="preserve">I</w:instrText>
      </w:r>
      <w:r>
        <w:rPr>
          <w:rFonts w:hint="eastAsia"/>
        </w:rPr>
        <w:instrText xml:space="preserve">nspection of </w:instrText>
      </w:r>
      <w:r>
        <w:instrText xml:space="preserve">C</w:instrText>
      </w:r>
      <w:r>
        <w:rPr>
          <w:rFonts w:hint="eastAsia"/>
        </w:rPr>
        <w:instrText xml:space="preserve">ast-in-</w:instrText>
      </w:r>
      <w:r>
        <w:instrText xml:space="preserve">S</w:instrText>
      </w:r>
      <w:r>
        <w:rPr>
          <w:rFonts w:hint="eastAsia"/>
        </w:rPr>
        <w:instrText xml:space="preserve">itu </w:instrText>
      </w:r>
      <w:r>
        <w:instrText xml:space="preserve">P</w:instrText>
      </w:r>
      <w:r>
        <w:rPr>
          <w:rFonts w:hint="eastAsia"/>
        </w:rPr>
        <w:instrText xml:space="preserve">art in </w:instrText>
      </w:r>
      <w:r>
        <w:instrText xml:space="preserve">P</w:instrText>
      </w:r>
      <w:r>
        <w:rPr>
          <w:rFonts w:hint="eastAsia"/>
        </w:rPr>
        <w:instrText xml:space="preserve">recast </w:instrText>
      </w:r>
      <w:r>
        <w:instrText xml:space="preserve">C</w:instrText>
      </w:r>
      <w:r>
        <w:rPr>
          <w:rFonts w:hint="eastAsia"/>
        </w:rPr>
        <w:instrText xml:space="preserve">oncrete</w:instrText>
      </w:r>
      <w:bookmarkEnd w:id="271"/>
      <w:r>
        <w:rPr>
          <w:rFonts w:hint="eastAsia"/>
        </w:rPr>
        <w:instrText xml:space="preserve">" \l 2</w:instrText>
      </w:r>
      <w:r>
        <w:instrText xml:space="preserve"> </w:instrText>
      </w:r>
      <w:r>
        <w:fldChar w:fldCharType="end"/>
      </w:r>
    </w:p>
    <w:bookmarkEnd w:id="270"/>
    <w:p>
      <w:r>
        <w:rPr>
          <w:rFonts w:hint="eastAsia"/>
          <w:b/>
        </w:rPr>
        <w:t>7.2.</w:t>
      </w:r>
      <w:r>
        <w:rPr>
          <w:b/>
        </w:rPr>
        <w:t>1</w:t>
      </w:r>
      <w:r>
        <w:rPr>
          <w:rFonts w:hint="eastAsia"/>
        </w:rPr>
        <w:t xml:space="preserve">  预制空腔构件、叠合构件现浇部分混凝土抗压强度检测宜采用拉脱法，检测方法应符合现行行业标准《拉脱法检测混凝土抗压强度技术规程》JGJ/T 378的规定。</w:t>
      </w:r>
    </w:p>
    <w:p>
      <w:r>
        <w:rPr>
          <w:rFonts w:hint="eastAsia"/>
          <w:b/>
        </w:rPr>
        <w:t>7</w:t>
      </w:r>
      <w:r>
        <w:rPr>
          <w:b/>
        </w:rPr>
        <w:t xml:space="preserve">.2.2  </w:t>
      </w:r>
      <w:r>
        <w:rPr>
          <w:rFonts w:hint="eastAsia"/>
        </w:rPr>
        <w:t>预制空腔构件、叠合构件现浇部分混凝土抗压强度可按单个构件或批量检测，并符合下列规定：</w:t>
      </w:r>
    </w:p>
    <w:p>
      <w:pPr>
        <w:ind w:firstLine="316" w:firstLineChars="150"/>
      </w:pPr>
      <w:r>
        <w:rPr>
          <w:rFonts w:hint="eastAsia"/>
          <w:b/>
        </w:rPr>
        <w:t>1</w:t>
      </w:r>
      <w:r>
        <w:rPr>
          <w:rFonts w:hint="eastAsia"/>
        </w:rPr>
        <w:t xml:space="preserve">  按单个构件检测时，布置测点应为3个；</w:t>
      </w:r>
    </w:p>
    <w:p>
      <w:pPr>
        <w:ind w:firstLine="316" w:firstLineChars="150"/>
      </w:pPr>
      <w:r>
        <w:rPr>
          <w:rFonts w:hint="eastAsia"/>
          <w:b/>
        </w:rPr>
        <w:t>2</w:t>
      </w:r>
      <w:r>
        <w:rPr>
          <w:rFonts w:hint="eastAsia"/>
        </w:rPr>
        <w:t xml:space="preserve">  按批量检测时，每批抽样数量应为10~15个，每个构件布置测点不应少于1个；</w:t>
      </w:r>
    </w:p>
    <w:p>
      <w:pPr>
        <w:ind w:firstLine="316" w:firstLineChars="150"/>
      </w:pPr>
      <w:r>
        <w:rPr>
          <w:rFonts w:hint="eastAsia"/>
          <w:b/>
        </w:rPr>
        <w:t>3</w:t>
      </w:r>
      <w:r>
        <w:rPr>
          <w:rFonts w:hint="eastAsia"/>
        </w:rPr>
        <w:t xml:space="preserve">  按批量检测时，应符合下列条件：</w:t>
      </w:r>
    </w:p>
    <w:p>
      <w:pPr>
        <w:ind w:firstLine="632" w:firstLineChars="300"/>
      </w:pPr>
      <w:r>
        <w:rPr>
          <w:rFonts w:hint="eastAsia"/>
          <w:b/>
        </w:rPr>
        <w:t>1</w:t>
      </w:r>
      <w:r>
        <w:rPr>
          <w:rFonts w:hint="eastAsia"/>
        </w:rPr>
        <w:t>）设计混凝土强度等级应相同；</w:t>
      </w:r>
    </w:p>
    <w:p>
      <w:pPr>
        <w:ind w:firstLine="632" w:firstLineChars="300"/>
      </w:pPr>
      <w:r>
        <w:rPr>
          <w:rFonts w:hint="eastAsia"/>
          <w:b/>
        </w:rPr>
        <w:t>2</w:t>
      </w:r>
      <w:r>
        <w:rPr>
          <w:rFonts w:hint="eastAsia"/>
        </w:rPr>
        <w:t>）混凝土原材料、配合比、施工工艺、养护条件和龄期应相同；</w:t>
      </w:r>
    </w:p>
    <w:p>
      <w:r>
        <w:rPr>
          <w:rFonts w:hint="eastAsia"/>
          <w:b/>
        </w:rPr>
        <w:t>7.2.</w:t>
      </w:r>
      <w:r>
        <w:rPr>
          <w:b/>
        </w:rPr>
        <w:t>3</w:t>
      </w:r>
      <w:r>
        <w:rPr>
          <w:rFonts w:hint="eastAsia"/>
        </w:rPr>
        <w:t xml:space="preserve">  装配式混凝土结构现浇部分内部质量缺陷检测宜可采用超声法、冲击回波法、相控阵超声成像法等非破损方法，必要时可钻芯或剔凿验证。采用超声法时，应符合现行协会标准《超声法检测混凝土缺陷技术规程》CECS</w:t>
      </w:r>
      <w:r>
        <w:t xml:space="preserve"> </w:t>
      </w:r>
      <w:r>
        <w:rPr>
          <w:rFonts w:hint="eastAsia"/>
        </w:rPr>
        <w:t>21的规定；采用冲击回波法时，应符合现行行业标准《冲击回波法检测混凝土缺陷技术规程》JG/T</w:t>
      </w:r>
      <w:r>
        <w:t xml:space="preserve"> </w:t>
      </w:r>
      <w:r>
        <w:rPr>
          <w:rFonts w:hint="eastAsia"/>
        </w:rPr>
        <w:t>411的规定；采用相控阵超声成像法时，可按本标准附录A执行。</w:t>
      </w:r>
    </w:p>
    <w:p>
      <w:pPr>
        <w:pStyle w:val="3"/>
      </w:pPr>
      <w:bookmarkStart w:id="272" w:name="_Toc12886318"/>
      <w:bookmarkStart w:id="273" w:name="_Toc12959540"/>
      <w:bookmarkStart w:id="274" w:name="_Toc17273669"/>
      <w:bookmarkStart w:id="275" w:name="_Toc6318083"/>
      <w:bookmarkStart w:id="276" w:name="_Toc6325064"/>
      <w:bookmarkStart w:id="277" w:name="_Toc8736846"/>
      <w:r>
        <w:rPr>
          <w:rFonts w:hint="eastAsia"/>
          <w:b/>
        </w:rPr>
        <w:t>7.3</w:t>
      </w:r>
      <w:r>
        <w:rPr>
          <w:rFonts w:hint="eastAsia"/>
        </w:rPr>
        <w:t xml:space="preserve">  结构整体性能检验</w:t>
      </w:r>
      <w:bookmarkEnd w:id="272"/>
      <w:bookmarkEnd w:id="273"/>
      <w:bookmarkEnd w:id="274"/>
      <w:bookmarkEnd w:id="275"/>
      <w:bookmarkEnd w:id="276"/>
      <w:bookmarkEnd w:id="277"/>
      <w:r>
        <w:fldChar w:fldCharType="begin"/>
      </w:r>
      <w:r>
        <w:instrText xml:space="preserve"> </w:instrText>
      </w:r>
      <w:r>
        <w:rPr>
          <w:rFonts w:hint="eastAsia"/>
        </w:rPr>
        <w:instrText xml:space="preserve">TC  "</w:instrText>
      </w:r>
      <w:bookmarkStart w:id="278" w:name="_Toc17274708"/>
      <w:r>
        <w:rPr>
          <w:rFonts w:hint="eastAsia"/>
        </w:rPr>
        <w:instrText xml:space="preserve">7.3  Performance Inspection of </w:instrText>
      </w:r>
      <w:r>
        <w:instrText xml:space="preserve">Whole</w:instrText>
      </w:r>
      <w:r>
        <w:rPr>
          <w:rFonts w:hint="eastAsia"/>
        </w:rPr>
        <w:instrText xml:space="preserve"> Structure</w:instrText>
      </w:r>
      <w:bookmarkEnd w:id="278"/>
      <w:r>
        <w:rPr>
          <w:rFonts w:hint="eastAsia"/>
        </w:rPr>
        <w:instrText xml:space="preserve">" \l 2</w:instrText>
      </w:r>
      <w:r>
        <w:instrText xml:space="preserve"> </w:instrText>
      </w:r>
      <w:r>
        <w:fldChar w:fldCharType="end"/>
      </w:r>
    </w:p>
    <w:p>
      <w:r>
        <w:rPr>
          <w:rFonts w:hint="eastAsia"/>
          <w:b/>
        </w:rPr>
        <w:t xml:space="preserve">7.3.1 </w:t>
      </w:r>
      <w:r>
        <w:rPr>
          <w:b/>
        </w:rPr>
        <w:t xml:space="preserve"> </w:t>
      </w:r>
      <w:r>
        <w:rPr>
          <w:rFonts w:hint="eastAsia"/>
        </w:rPr>
        <w:t>装配式混凝土结构整体性能检验可分为垂直度测量、静载试验和动力性能测试等项目。</w:t>
      </w:r>
    </w:p>
    <w:p>
      <w:pPr>
        <w:rPr>
          <w:b/>
        </w:rPr>
      </w:pPr>
      <w:r>
        <w:rPr>
          <w:rFonts w:hint="eastAsia"/>
          <w:b/>
        </w:rPr>
        <w:t xml:space="preserve">7.3.2 </w:t>
      </w:r>
      <w:r>
        <w:rPr>
          <w:b/>
        </w:rPr>
        <w:t xml:space="preserve"> </w:t>
      </w:r>
      <w:r>
        <w:rPr>
          <w:rFonts w:hint="eastAsia"/>
        </w:rPr>
        <w:t>装配式混凝土结构垂直度测量应符合现行行业标准《建筑变形测量规范》JGJ 8的规定。</w:t>
      </w:r>
    </w:p>
    <w:p>
      <w:r>
        <w:rPr>
          <w:rFonts w:hint="eastAsia"/>
          <w:b/>
        </w:rPr>
        <w:t>7.3.3</w:t>
      </w:r>
      <w:r>
        <w:rPr>
          <w:b/>
        </w:rPr>
        <w:t xml:space="preserve"> </w:t>
      </w:r>
      <w:r>
        <w:rPr>
          <w:rFonts w:hint="eastAsia"/>
          <w:b/>
        </w:rPr>
        <w:t xml:space="preserve"> </w:t>
      </w:r>
      <w:r>
        <w:rPr>
          <w:rFonts w:hint="eastAsia"/>
        </w:rPr>
        <w:t>装配式混凝土结构静载试验可分为结构构件适用性检验、安全性检验和承载力检验，试验方法应符合现行国家标准《混凝土结构试验方法标准》</w:t>
      </w:r>
      <w:r>
        <w:t>GB/T 50152</w:t>
      </w:r>
      <w:r>
        <w:rPr>
          <w:rFonts w:hint="eastAsia"/>
        </w:rPr>
        <w:t>的规定。</w:t>
      </w:r>
    </w:p>
    <w:p>
      <w:r>
        <w:rPr>
          <w:rFonts w:hint="eastAsia"/>
          <w:b/>
        </w:rPr>
        <w:t>7.3.</w:t>
      </w:r>
      <w:r>
        <w:rPr>
          <w:b/>
        </w:rPr>
        <w:t xml:space="preserve">4 </w:t>
      </w:r>
      <w:r>
        <w:rPr>
          <w:rFonts w:hint="eastAsia"/>
          <w:b/>
        </w:rPr>
        <w:t xml:space="preserve"> </w:t>
      </w:r>
      <w:r>
        <w:rPr>
          <w:rFonts w:hint="eastAsia"/>
        </w:rPr>
        <w:t>装配式混凝土结构动力测试可分为结构振动测试和结构动力特性测试</w:t>
      </w:r>
      <w:bookmarkStart w:id="279" w:name="_Hlk522288646"/>
      <w:r>
        <w:rPr>
          <w:rFonts w:hint="eastAsia"/>
        </w:rPr>
        <w:t>，</w:t>
      </w:r>
      <w:bookmarkEnd w:id="279"/>
      <w:r>
        <w:rPr>
          <w:rFonts w:hint="eastAsia"/>
        </w:rPr>
        <w:t>测试方法应符合现行国家标准《混凝土结构试验方法标准》</w:t>
      </w:r>
      <w:r>
        <w:t>GB/T 50152</w:t>
      </w:r>
      <w:r>
        <w:rPr>
          <w:rFonts w:hint="eastAsia"/>
        </w:rPr>
        <w:t>的规定。</w:t>
      </w:r>
    </w:p>
    <w:p>
      <w:r>
        <w:rPr>
          <w:b/>
        </w:rPr>
        <w:t>7</w:t>
      </w:r>
      <w:r>
        <w:rPr>
          <w:rFonts w:hint="eastAsia"/>
          <w:b/>
        </w:rPr>
        <w:t>.</w:t>
      </w:r>
      <w:r>
        <w:rPr>
          <w:b/>
        </w:rPr>
        <w:t>3</w:t>
      </w:r>
      <w:r>
        <w:rPr>
          <w:rFonts w:hint="eastAsia"/>
          <w:b/>
        </w:rPr>
        <w:t>.</w:t>
      </w:r>
      <w:r>
        <w:rPr>
          <w:b/>
        </w:rPr>
        <w:t>5</w:t>
      </w:r>
      <w:r>
        <w:rPr>
          <w:rFonts w:hint="eastAsia"/>
        </w:rPr>
        <w:t xml:space="preserve"> </w:t>
      </w:r>
      <w:r>
        <w:t xml:space="preserve"> </w:t>
      </w:r>
      <w:r>
        <w:rPr>
          <w:rFonts w:hint="eastAsia"/>
        </w:rPr>
        <w:t>隔墙抗冲击性能试验方法应符合本标准附录E的规定。</w:t>
      </w:r>
    </w:p>
    <w:p>
      <w:r>
        <w:rPr>
          <w:rFonts w:hint="eastAsia"/>
          <w:b/>
        </w:rPr>
        <w:t>7.</w:t>
      </w:r>
      <w:r>
        <w:rPr>
          <w:b/>
        </w:rPr>
        <w:t>3.6</w:t>
      </w:r>
      <w:r>
        <w:t xml:space="preserve">  </w:t>
      </w:r>
      <w:r>
        <w:rPr>
          <w:rFonts w:hint="eastAsia"/>
        </w:rPr>
        <w:t>预制外墙板淋水试验方法应符合本标准附录F的规定。</w:t>
      </w:r>
    </w:p>
    <w:p>
      <w:pPr>
        <w:sectPr>
          <w:footerReference r:id="rId9" w:type="default"/>
          <w:pgSz w:w="7938" w:h="11510"/>
          <w:pgMar w:top="1083" w:right="1009" w:bottom="1083" w:left="1009" w:header="851" w:footer="992" w:gutter="0"/>
          <w:cols w:space="425" w:num="1"/>
          <w:docGrid w:type="lines" w:linePitch="312" w:charSpace="0"/>
        </w:sectPr>
      </w:pPr>
    </w:p>
    <w:p>
      <w:pPr>
        <w:pStyle w:val="2"/>
        <w:ind w:left="1120" w:hanging="1120" w:hangingChars="400"/>
      </w:pPr>
      <w:bookmarkStart w:id="280" w:name="_Toc6318089"/>
      <w:bookmarkStart w:id="281" w:name="_Toc6325070"/>
      <w:bookmarkStart w:id="282" w:name="_Toc12959541"/>
      <w:bookmarkStart w:id="283" w:name="_Toc17273670"/>
      <w:bookmarkStart w:id="284" w:name="_Toc8736847"/>
      <w:bookmarkStart w:id="285" w:name="_Toc12886319"/>
      <w:bookmarkStart w:id="286" w:name="_Toc523216214"/>
      <w:bookmarkStart w:id="287" w:name="_Toc6318085"/>
      <w:bookmarkStart w:id="288" w:name="_Toc522627960"/>
      <w:bookmarkStart w:id="289" w:name="_Toc523216672"/>
      <w:bookmarkStart w:id="290" w:name="_Toc522031115"/>
      <w:bookmarkStart w:id="291" w:name="_Toc6325066"/>
      <w:bookmarkStart w:id="292" w:name="_Toc515287988"/>
      <w:bookmarkStart w:id="293" w:name="_Hlk522023450"/>
      <w:bookmarkStart w:id="294" w:name="_Toc523216667"/>
      <w:bookmarkStart w:id="295" w:name="_Toc522627955"/>
      <w:bookmarkStart w:id="296" w:name="_Toc522031110"/>
      <w:bookmarkStart w:id="297" w:name="_Toc515373892"/>
      <w:bookmarkStart w:id="298" w:name="_Toc523216209"/>
      <w:bookmarkStart w:id="299" w:name="_Toc521503677"/>
      <w:r>
        <w:rPr>
          <w:rFonts w:hint="eastAsia"/>
        </w:rPr>
        <w:t xml:space="preserve">附录A </w:t>
      </w:r>
      <w:r>
        <w:rPr>
          <w:rFonts w:hint="eastAsia"/>
          <w:color w:val="FF0000"/>
        </w:rPr>
        <w:t xml:space="preserve"> </w:t>
      </w:r>
      <w:bookmarkEnd w:id="280"/>
      <w:bookmarkEnd w:id="281"/>
      <w:r>
        <w:rPr>
          <w:rFonts w:hint="eastAsia"/>
        </w:rPr>
        <w:t>混凝土缺陷</w:t>
      </w:r>
      <w:bookmarkStart w:id="300" w:name="_Hlk24037947"/>
      <w:r>
        <w:rPr>
          <w:rFonts w:hint="eastAsia"/>
        </w:rPr>
        <w:t>相控阵超声成像法</w:t>
      </w:r>
      <w:bookmarkEnd w:id="282"/>
      <w:bookmarkEnd w:id="283"/>
      <w:bookmarkEnd w:id="284"/>
      <w:bookmarkEnd w:id="285"/>
      <w:bookmarkEnd w:id="300"/>
      <w:r>
        <w:fldChar w:fldCharType="begin"/>
      </w:r>
      <w:r>
        <w:instrText xml:space="preserve"> </w:instrText>
      </w:r>
      <w:r>
        <w:rPr>
          <w:rFonts w:hint="eastAsia"/>
        </w:rPr>
        <w:instrText xml:space="preserve">TC  "</w:instrText>
      </w:r>
      <w:bookmarkStart w:id="301" w:name="_Toc17274709"/>
      <w:r>
        <w:rPr>
          <w:rFonts w:hint="eastAsia"/>
        </w:rPr>
        <w:instrText xml:space="preserve">Appendix A  </w:instrText>
      </w:r>
      <w:r>
        <w:instrText xml:space="preserve">I</w:instrText>
      </w:r>
      <w:r>
        <w:rPr>
          <w:rFonts w:hint="eastAsia"/>
        </w:rPr>
        <w:instrText xml:space="preserve">nspection of </w:instrText>
      </w:r>
      <w:r>
        <w:instrText xml:space="preserve">C</w:instrText>
      </w:r>
      <w:r>
        <w:rPr>
          <w:rFonts w:hint="eastAsia"/>
        </w:rPr>
        <w:instrText xml:space="preserve">oncrete </w:instrText>
      </w:r>
      <w:r>
        <w:instrText xml:space="preserve">D</w:instrText>
      </w:r>
      <w:r>
        <w:rPr>
          <w:rFonts w:hint="eastAsia"/>
        </w:rPr>
        <w:instrText xml:space="preserve">efect by </w:instrText>
      </w:r>
      <w:r>
        <w:instrText xml:space="preserve">P</w:instrText>
      </w:r>
      <w:r>
        <w:rPr>
          <w:rFonts w:hint="eastAsia"/>
        </w:rPr>
        <w:instrText xml:space="preserve">hased </w:instrText>
      </w:r>
      <w:r>
        <w:instrText xml:space="preserve">A</w:instrText>
      </w:r>
      <w:r>
        <w:rPr>
          <w:rFonts w:hint="eastAsia"/>
        </w:rPr>
        <w:instrText xml:space="preserve">rray </w:instrText>
      </w:r>
      <w:r>
        <w:instrText xml:space="preserve">U</w:instrText>
      </w:r>
      <w:r>
        <w:rPr>
          <w:rFonts w:hint="eastAsia"/>
        </w:rPr>
        <w:instrText xml:space="preserve">ltrasonic </w:instrText>
      </w:r>
      <w:r>
        <w:instrText xml:space="preserve">I</w:instrText>
      </w:r>
      <w:r>
        <w:rPr>
          <w:rFonts w:hint="eastAsia"/>
        </w:rPr>
        <w:instrText xml:space="preserve">maging </w:instrText>
      </w:r>
      <w:r>
        <w:instrText xml:space="preserve">M</w:instrText>
      </w:r>
      <w:r>
        <w:rPr>
          <w:rFonts w:hint="eastAsia"/>
        </w:rPr>
        <w:instrText xml:space="preserve">ethod</w:instrText>
      </w:r>
      <w:bookmarkEnd w:id="301"/>
      <w:r>
        <w:rPr>
          <w:rFonts w:hint="eastAsia"/>
        </w:rPr>
        <w:instrText xml:space="preserve">" \l 1</w:instrText>
      </w:r>
      <w:r>
        <w:instrText xml:space="preserve"> </w:instrText>
      </w:r>
      <w:r>
        <w:fldChar w:fldCharType="end"/>
      </w:r>
    </w:p>
    <w:p>
      <w:r>
        <w:rPr>
          <w:rFonts w:hint="eastAsia"/>
          <w:b/>
        </w:rPr>
        <w:t>A</w:t>
      </w:r>
      <w:r>
        <w:rPr>
          <w:b/>
        </w:rPr>
        <w:t>.0.1</w:t>
      </w:r>
      <w:r>
        <w:t xml:space="preserve">  </w:t>
      </w:r>
      <w:r>
        <w:rPr>
          <w:rFonts w:hint="eastAsia"/>
        </w:rPr>
        <w:t>相控阵超声成像法是利用脉冲回波技术对混凝土内部夹杂物、孔洞、分层、裂缝、蜂窝、预埋管道等情况成像的方法。</w:t>
      </w:r>
    </w:p>
    <w:p>
      <w:pPr>
        <w:tabs>
          <w:tab w:val="right" w:pos="5920"/>
        </w:tabs>
      </w:pPr>
      <w:r>
        <w:rPr>
          <w:rFonts w:hint="eastAsia"/>
          <w:b/>
        </w:rPr>
        <w:t>A.0.</w:t>
      </w:r>
      <w:r>
        <w:rPr>
          <w:b/>
        </w:rPr>
        <w:t>2</w:t>
      </w:r>
      <w:r>
        <w:rPr>
          <w:rFonts w:hint="eastAsia"/>
        </w:rPr>
        <w:t xml:space="preserve">  测试前，应充分收集被测物体的设计和建造信息，如混凝土强度、几何尺寸、钢筋分布、预埋配件位置、施工工艺等情况。</w:t>
      </w:r>
    </w:p>
    <w:p>
      <w:pPr>
        <w:rPr>
          <w:highlight w:val="yellow"/>
        </w:rPr>
      </w:pPr>
      <w:r>
        <w:rPr>
          <w:rFonts w:hint="eastAsia"/>
          <w:b/>
        </w:rPr>
        <w:t>A.0.</w:t>
      </w:r>
      <w:r>
        <w:rPr>
          <w:b/>
        </w:rPr>
        <w:t>3</w:t>
      </w:r>
      <w:r>
        <w:rPr>
          <w:rFonts w:hint="eastAsia"/>
        </w:rPr>
        <w:t xml:space="preserve">  相控阵超声成像仪应符合下列规定：</w:t>
      </w:r>
    </w:p>
    <w:p>
      <w:pPr>
        <w:ind w:firstLine="316" w:firstLineChars="150"/>
        <w:rPr>
          <w:b/>
        </w:rPr>
      </w:pPr>
      <w:r>
        <w:rPr>
          <w:rFonts w:hint="eastAsia"/>
          <w:b/>
        </w:rPr>
        <w:t xml:space="preserve">1  </w:t>
      </w:r>
      <w:r>
        <w:rPr>
          <w:rFonts w:hint="eastAsia"/>
        </w:rPr>
        <w:t>应包含主机、探头、扫查装置和分析软件等，且均应具备产品出厂合格证明文件；</w:t>
      </w:r>
    </w:p>
    <w:p>
      <w:pPr>
        <w:ind w:firstLine="316" w:firstLineChars="150"/>
      </w:pPr>
      <w:r>
        <w:rPr>
          <w:rFonts w:hint="eastAsia"/>
          <w:b/>
        </w:rPr>
        <w:t>2</w:t>
      </w:r>
      <w:r>
        <w:rPr>
          <w:rFonts w:hint="eastAsia"/>
        </w:rPr>
        <w:t xml:space="preserve">  应具备对混凝土内部构造彩色成像的功能；</w:t>
      </w:r>
    </w:p>
    <w:p>
      <w:pPr>
        <w:ind w:firstLine="316" w:firstLineChars="150"/>
      </w:pPr>
      <w:r>
        <w:rPr>
          <w:rFonts w:hint="eastAsia"/>
          <w:b/>
        </w:rPr>
        <w:t>3</w:t>
      </w:r>
      <w:r>
        <w:rPr>
          <w:rFonts w:hint="eastAsia"/>
        </w:rPr>
        <w:t xml:space="preserve">  标称探测深度不宜小于1000mm，探头应可用于单面测试；</w:t>
      </w:r>
    </w:p>
    <w:p>
      <w:pPr>
        <w:ind w:firstLine="316" w:firstLineChars="150"/>
      </w:pPr>
      <w:r>
        <w:rPr>
          <w:rFonts w:hint="eastAsia"/>
          <w:b/>
        </w:rPr>
        <w:t xml:space="preserve">4  </w:t>
      </w:r>
      <w:r>
        <w:rPr>
          <w:rFonts w:hint="eastAsia"/>
        </w:rPr>
        <w:t>脉冲发射频率范围宜为10~500kHz，接收增益宜为0~80dB，声时最小分辨率不宜大于0.1</w:t>
      </w:r>
      <w:r>
        <w:t>μ</w:t>
      </w:r>
      <w:r>
        <w:rPr>
          <w:rFonts w:hint="eastAsia"/>
        </w:rPr>
        <w:t>s，脉冲延时宜为8~100ms且可调节；</w:t>
      </w:r>
    </w:p>
    <w:p>
      <w:pPr>
        <w:ind w:firstLine="316" w:firstLineChars="150"/>
      </w:pPr>
      <w:r>
        <w:rPr>
          <w:rFonts w:hint="eastAsia"/>
          <w:b/>
        </w:rPr>
        <w:t>5</w:t>
      </w:r>
      <w:r>
        <w:rPr>
          <w:rFonts w:hint="eastAsia"/>
        </w:rPr>
        <w:t xml:space="preserve">  工作环境温度宜为-10~50℃，且不宜在机械振动和高振幅电噪声干扰环境下使用；</w:t>
      </w:r>
    </w:p>
    <w:p>
      <w:pPr>
        <w:ind w:firstLine="316" w:firstLineChars="150"/>
      </w:pPr>
      <w:r>
        <w:rPr>
          <w:rFonts w:hint="eastAsia"/>
          <w:b/>
        </w:rPr>
        <w:t>6</w:t>
      </w:r>
      <w:r>
        <w:rPr>
          <w:rFonts w:hint="eastAsia"/>
        </w:rPr>
        <w:t xml:space="preserve">  仪器应定期进行校准，并应出具符合国家规定、在有效期限内使用的校准证书；当仪器固件升级和配件更换后，应校准合格后方可继续使用。</w:t>
      </w:r>
    </w:p>
    <w:p>
      <w:r>
        <w:rPr>
          <w:rFonts w:hint="eastAsia"/>
          <w:b/>
        </w:rPr>
        <w:t xml:space="preserve">A.0.4  </w:t>
      </w:r>
      <w:r>
        <w:rPr>
          <w:rFonts w:hint="eastAsia"/>
        </w:rPr>
        <w:t>检测构件及测区布置应符合以下要求：</w:t>
      </w:r>
    </w:p>
    <w:p>
      <w:pPr>
        <w:ind w:firstLine="316" w:firstLineChars="150"/>
      </w:pPr>
      <w:r>
        <w:rPr>
          <w:rFonts w:hint="eastAsia"/>
          <w:b/>
        </w:rPr>
        <w:t>1</w:t>
      </w:r>
      <w:r>
        <w:rPr>
          <w:rFonts w:hint="eastAsia"/>
        </w:rPr>
        <w:t xml:space="preserve">  被检构件表面应清洁、平整，构件测试面宜与超声波反射面平行；</w:t>
      </w:r>
    </w:p>
    <w:p>
      <w:pPr>
        <w:ind w:firstLine="310" w:firstLineChars="147"/>
      </w:pPr>
      <w:r>
        <w:rPr>
          <w:rFonts w:hint="eastAsia"/>
          <w:b/>
        </w:rPr>
        <w:t xml:space="preserve">2  </w:t>
      </w:r>
      <w:r>
        <w:rPr>
          <w:rFonts w:hint="eastAsia"/>
        </w:rPr>
        <w:t>测区应标识编号和位置，且宜连续布置，测区覆盖范围应大于预估缺陷的区域；</w:t>
      </w:r>
    </w:p>
    <w:p>
      <w:pPr>
        <w:ind w:firstLine="316" w:firstLineChars="150"/>
        <w:rPr>
          <w:b/>
        </w:rPr>
      </w:pPr>
      <w:r>
        <w:rPr>
          <w:rFonts w:hint="eastAsia"/>
          <w:b/>
        </w:rPr>
        <w:t>3</w:t>
      </w:r>
      <w:r>
        <w:rPr>
          <w:rFonts w:hint="eastAsia"/>
        </w:rPr>
        <w:t xml:space="preserve">  测区与被测构件边缘的距离、测试深度应符合仪器性能的要求。</w:t>
      </w:r>
    </w:p>
    <w:p>
      <w:pPr>
        <w:tabs>
          <w:tab w:val="right" w:pos="5920"/>
        </w:tabs>
      </w:pPr>
      <w:r>
        <w:rPr>
          <w:rFonts w:hint="eastAsia" w:eastAsia="黑体"/>
          <w:b/>
          <w:bCs/>
        </w:rPr>
        <w:t>A</w:t>
      </w:r>
      <w:r>
        <w:rPr>
          <w:rFonts w:eastAsia="黑体"/>
          <w:b/>
          <w:bCs/>
        </w:rPr>
        <w:t>.0.</w:t>
      </w:r>
      <w:r>
        <w:rPr>
          <w:rFonts w:hint="eastAsia" w:eastAsia="黑体"/>
          <w:b/>
          <w:bCs/>
        </w:rPr>
        <w:t>5</w:t>
      </w:r>
      <w:r>
        <w:rPr>
          <w:rFonts w:eastAsia="黑体"/>
          <w:b/>
          <w:bCs/>
        </w:rPr>
        <w:t xml:space="preserve">  </w:t>
      </w:r>
      <w:r>
        <w:rPr>
          <w:rFonts w:hint="eastAsia"/>
        </w:rPr>
        <w:t>检测时应首先按照仪器给出的方法测试构件的超声波脉冲速度，当构件厚度已知时，宜采用已知厚度对超声脉冲波速进行标定。</w:t>
      </w:r>
    </w:p>
    <w:p>
      <w:pPr>
        <w:tabs>
          <w:tab w:val="right" w:pos="5920"/>
        </w:tabs>
      </w:pPr>
      <w:r>
        <w:rPr>
          <w:rFonts w:hint="eastAsia" w:eastAsia="黑体"/>
          <w:b/>
          <w:bCs/>
        </w:rPr>
        <w:t>A</w:t>
      </w:r>
      <w:r>
        <w:rPr>
          <w:rFonts w:eastAsia="黑体"/>
          <w:b/>
          <w:bCs/>
        </w:rPr>
        <w:t>.0.</w:t>
      </w:r>
      <w:r>
        <w:rPr>
          <w:rFonts w:hint="eastAsia" w:eastAsia="黑体"/>
          <w:b/>
          <w:bCs/>
        </w:rPr>
        <w:t>6</w:t>
      </w:r>
      <w:r>
        <w:rPr>
          <w:rFonts w:eastAsia="黑体"/>
          <w:b/>
          <w:bCs/>
        </w:rPr>
        <w:t xml:space="preserve">  </w:t>
      </w:r>
      <w:r>
        <w:rPr>
          <w:rFonts w:hint="eastAsia"/>
        </w:rPr>
        <w:t>被测物体最小厚度宜≥50mm。当测试物体内存在圆柱形缺陷时，缺陷直径宜≥10mm；对球形缺陷，缺陷直径宜≥25mm。</w:t>
      </w:r>
    </w:p>
    <w:p>
      <w:pPr>
        <w:tabs>
          <w:tab w:val="right" w:pos="5920"/>
        </w:tabs>
      </w:pPr>
      <w:r>
        <w:rPr>
          <w:rFonts w:hint="eastAsia" w:eastAsia="黑体"/>
          <w:b/>
          <w:bCs/>
        </w:rPr>
        <w:t>A</w:t>
      </w:r>
      <w:r>
        <w:rPr>
          <w:rFonts w:eastAsia="黑体"/>
          <w:b/>
          <w:bCs/>
        </w:rPr>
        <w:t>.0.</w:t>
      </w:r>
      <w:r>
        <w:rPr>
          <w:rFonts w:hint="eastAsia" w:eastAsia="黑体"/>
          <w:b/>
          <w:bCs/>
        </w:rPr>
        <w:t>7</w:t>
      </w:r>
      <w:r>
        <w:rPr>
          <w:rFonts w:eastAsia="黑体"/>
          <w:b/>
          <w:bCs/>
        </w:rPr>
        <w:t xml:space="preserve">  </w:t>
      </w:r>
      <w:r>
        <w:rPr>
          <w:rFonts w:hint="eastAsia"/>
        </w:rPr>
        <w:t>检测过程中应</w:t>
      </w:r>
      <w:r>
        <w:t>根据成像结果分析缺陷的类型、大小、空间位置等情况，</w:t>
      </w:r>
      <w:r>
        <w:rPr>
          <w:rFonts w:hint="eastAsia"/>
        </w:rPr>
        <w:t>并存储成像。</w:t>
      </w:r>
      <w:r>
        <w:t>当对分析结果有怀疑时，可局部破损</w:t>
      </w:r>
      <w:r>
        <w:rPr>
          <w:rFonts w:hint="eastAsia"/>
        </w:rPr>
        <w:t>检测方法</w:t>
      </w:r>
      <w:r>
        <w:t>验证。</w:t>
      </w:r>
    </w:p>
    <w:p>
      <w:pPr>
        <w:snapToGrid w:val="0"/>
        <w:spacing w:line="360" w:lineRule="auto"/>
      </w:pPr>
      <w:r>
        <w:rPr>
          <w:rFonts w:hint="eastAsia"/>
          <w:b/>
        </w:rPr>
        <w:t>A.0.8</w:t>
      </w:r>
      <w:r>
        <w:rPr>
          <w:rFonts w:hint="eastAsia"/>
        </w:rPr>
        <w:t xml:space="preserve">  根据检测结果，应对被测构件的质量进行分级，给出措施建议，如表A.0</w:t>
      </w:r>
      <w:r>
        <w:t>.8</w:t>
      </w:r>
      <w:r>
        <w:rPr>
          <w:rFonts w:hint="eastAsia"/>
        </w:rPr>
        <w:t>所示。</w:t>
      </w:r>
    </w:p>
    <w:p>
      <w:pPr>
        <w:spacing w:line="240" w:lineRule="auto"/>
        <w:jc w:val="center"/>
        <w:rPr>
          <w:rFonts w:eastAsia="黑体"/>
          <w:sz w:val="18"/>
          <w:szCs w:val="18"/>
        </w:rPr>
      </w:pPr>
      <w:r>
        <w:rPr>
          <w:rFonts w:hint="eastAsia" w:eastAsia="黑体"/>
          <w:sz w:val="18"/>
          <w:szCs w:val="18"/>
        </w:rPr>
        <w:t>表A.0.</w:t>
      </w:r>
      <w:r>
        <w:rPr>
          <w:rFonts w:eastAsia="黑体"/>
          <w:sz w:val="18"/>
          <w:szCs w:val="18"/>
        </w:rPr>
        <w:t xml:space="preserve">8  </w:t>
      </w:r>
      <w:r>
        <w:rPr>
          <w:rFonts w:hint="eastAsia" w:eastAsia="黑体"/>
          <w:sz w:val="18"/>
          <w:szCs w:val="18"/>
        </w:rPr>
        <w:t>混凝土构件质量分级及措施建议</w:t>
      </w:r>
    </w:p>
    <w:tbl>
      <w:tblPr>
        <w:tblStyle w:val="26"/>
        <w:tblW w:w="61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4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4" w:type="dxa"/>
            <w:shd w:val="clear" w:color="auto" w:fill="auto"/>
            <w:vAlign w:val="center"/>
          </w:tcPr>
          <w:p>
            <w:pPr>
              <w:jc w:val="center"/>
              <w:rPr>
                <w:sz w:val="15"/>
                <w:szCs w:val="15"/>
              </w:rPr>
            </w:pPr>
            <w:r>
              <w:rPr>
                <w:rFonts w:hint="eastAsia"/>
                <w:sz w:val="15"/>
                <w:szCs w:val="15"/>
              </w:rPr>
              <w:t>等级</w:t>
            </w:r>
          </w:p>
        </w:tc>
        <w:tc>
          <w:tcPr>
            <w:tcW w:w="1275" w:type="dxa"/>
            <w:shd w:val="clear" w:color="auto" w:fill="auto"/>
            <w:vAlign w:val="center"/>
          </w:tcPr>
          <w:p>
            <w:pPr>
              <w:jc w:val="center"/>
              <w:rPr>
                <w:sz w:val="15"/>
                <w:szCs w:val="15"/>
              </w:rPr>
            </w:pPr>
            <w:r>
              <w:rPr>
                <w:rFonts w:hint="eastAsia"/>
                <w:sz w:val="15"/>
                <w:szCs w:val="15"/>
              </w:rPr>
              <w:t>分级</w:t>
            </w:r>
          </w:p>
        </w:tc>
        <w:tc>
          <w:tcPr>
            <w:tcW w:w="4327" w:type="dxa"/>
            <w:shd w:val="clear" w:color="auto" w:fill="auto"/>
            <w:vAlign w:val="center"/>
          </w:tcPr>
          <w:p>
            <w:pPr>
              <w:jc w:val="center"/>
              <w:rPr>
                <w:sz w:val="15"/>
                <w:szCs w:val="15"/>
              </w:rPr>
            </w:pPr>
            <w:r>
              <w:rPr>
                <w:rFonts w:hint="eastAsia"/>
                <w:sz w:val="15"/>
                <w:szCs w:val="15"/>
              </w:rPr>
              <w:t>措施建议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4" w:type="dxa"/>
            <w:shd w:val="clear" w:color="auto" w:fill="auto"/>
            <w:vAlign w:val="center"/>
          </w:tcPr>
          <w:p>
            <w:pPr>
              <w:jc w:val="center"/>
              <w:rPr>
                <w:sz w:val="15"/>
                <w:szCs w:val="15"/>
              </w:rPr>
            </w:pPr>
            <w:r>
              <w:rPr>
                <w:rFonts w:hint="eastAsia"/>
                <w:sz w:val="15"/>
                <w:szCs w:val="15"/>
              </w:rPr>
              <w:t>Ⅰ</w:t>
            </w:r>
          </w:p>
        </w:tc>
        <w:tc>
          <w:tcPr>
            <w:tcW w:w="1275" w:type="dxa"/>
            <w:shd w:val="clear" w:color="auto" w:fill="auto"/>
            <w:vAlign w:val="center"/>
          </w:tcPr>
          <w:p>
            <w:pPr>
              <w:jc w:val="center"/>
              <w:rPr>
                <w:sz w:val="15"/>
                <w:szCs w:val="15"/>
              </w:rPr>
            </w:pPr>
            <w:r>
              <w:rPr>
                <w:rFonts w:hint="eastAsia"/>
                <w:sz w:val="15"/>
                <w:szCs w:val="15"/>
              </w:rPr>
              <w:t>无明显缺陷</w:t>
            </w:r>
          </w:p>
        </w:tc>
        <w:tc>
          <w:tcPr>
            <w:tcW w:w="4327" w:type="dxa"/>
            <w:shd w:val="clear" w:color="auto" w:fill="auto"/>
            <w:vAlign w:val="center"/>
          </w:tcPr>
          <w:p>
            <w:pPr>
              <w:jc w:val="center"/>
              <w:rPr>
                <w:sz w:val="15"/>
                <w:szCs w:val="15"/>
              </w:rPr>
            </w:pPr>
            <w:r>
              <w:rPr>
                <w:rFonts w:hint="eastAsia"/>
                <w:sz w:val="15"/>
                <w:szCs w:val="15"/>
              </w:rPr>
              <w:t>可不采取措施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34" w:type="dxa"/>
            <w:shd w:val="clear" w:color="auto" w:fill="auto"/>
            <w:vAlign w:val="center"/>
          </w:tcPr>
          <w:p>
            <w:pPr>
              <w:jc w:val="center"/>
              <w:rPr>
                <w:sz w:val="15"/>
                <w:szCs w:val="15"/>
              </w:rPr>
            </w:pPr>
            <w:r>
              <w:rPr>
                <w:rFonts w:hint="eastAsia"/>
                <w:sz w:val="15"/>
                <w:szCs w:val="15"/>
              </w:rPr>
              <w:t>Ⅱ</w:t>
            </w:r>
          </w:p>
        </w:tc>
        <w:tc>
          <w:tcPr>
            <w:tcW w:w="1275" w:type="dxa"/>
            <w:shd w:val="clear" w:color="auto" w:fill="auto"/>
            <w:vAlign w:val="center"/>
          </w:tcPr>
          <w:p>
            <w:pPr>
              <w:jc w:val="center"/>
              <w:rPr>
                <w:sz w:val="15"/>
                <w:szCs w:val="15"/>
              </w:rPr>
            </w:pPr>
            <w:r>
              <w:rPr>
                <w:rFonts w:hint="eastAsia"/>
                <w:sz w:val="15"/>
                <w:szCs w:val="15"/>
              </w:rPr>
              <w:t>有一般缺陷</w:t>
            </w:r>
          </w:p>
        </w:tc>
        <w:tc>
          <w:tcPr>
            <w:tcW w:w="4327" w:type="dxa"/>
            <w:shd w:val="clear" w:color="auto" w:fill="auto"/>
            <w:vAlign w:val="center"/>
          </w:tcPr>
          <w:p>
            <w:pPr>
              <w:jc w:val="center"/>
              <w:rPr>
                <w:sz w:val="15"/>
                <w:szCs w:val="15"/>
              </w:rPr>
            </w:pPr>
            <w:r>
              <w:rPr>
                <w:rFonts w:hint="eastAsia"/>
                <w:sz w:val="15"/>
                <w:szCs w:val="15"/>
              </w:rPr>
              <w:t>由施工单位按技术处理方案进行处理，并重新验收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34" w:type="dxa"/>
            <w:shd w:val="clear" w:color="auto" w:fill="auto"/>
            <w:vAlign w:val="center"/>
          </w:tcPr>
          <w:p>
            <w:pPr>
              <w:jc w:val="center"/>
              <w:rPr>
                <w:sz w:val="15"/>
                <w:szCs w:val="15"/>
              </w:rPr>
            </w:pPr>
            <w:r>
              <w:rPr>
                <w:rFonts w:hint="eastAsia"/>
                <w:sz w:val="15"/>
                <w:szCs w:val="15"/>
              </w:rPr>
              <w:t>Ⅲ</w:t>
            </w:r>
          </w:p>
        </w:tc>
        <w:tc>
          <w:tcPr>
            <w:tcW w:w="1275" w:type="dxa"/>
            <w:shd w:val="clear" w:color="auto" w:fill="auto"/>
            <w:vAlign w:val="center"/>
          </w:tcPr>
          <w:p>
            <w:pPr>
              <w:jc w:val="center"/>
              <w:rPr>
                <w:sz w:val="15"/>
                <w:szCs w:val="15"/>
              </w:rPr>
            </w:pPr>
            <w:r>
              <w:rPr>
                <w:rFonts w:hint="eastAsia"/>
                <w:sz w:val="15"/>
                <w:szCs w:val="15"/>
              </w:rPr>
              <w:t>有严重缺陷</w:t>
            </w:r>
          </w:p>
        </w:tc>
        <w:tc>
          <w:tcPr>
            <w:tcW w:w="4327" w:type="dxa"/>
            <w:shd w:val="clear" w:color="auto" w:fill="auto"/>
            <w:vAlign w:val="center"/>
          </w:tcPr>
          <w:p>
            <w:pPr>
              <w:spacing w:line="240" w:lineRule="auto"/>
              <w:jc w:val="left"/>
              <w:rPr>
                <w:sz w:val="15"/>
                <w:szCs w:val="15"/>
              </w:rPr>
            </w:pPr>
            <w:r>
              <w:rPr>
                <w:rFonts w:hint="eastAsia"/>
                <w:sz w:val="15"/>
                <w:szCs w:val="15"/>
              </w:rPr>
              <w:t>由施工单位提出技术处理方案，经监理单位认可，必要时尚应经设计单位认可，处理后重新验收。</w:t>
            </w:r>
          </w:p>
        </w:tc>
      </w:tr>
    </w:tbl>
    <w:p>
      <w:pPr>
        <w:snapToGrid w:val="0"/>
        <w:spacing w:before="156" w:beforeLines="50" w:line="360" w:lineRule="auto"/>
        <w:rPr>
          <w:b/>
        </w:rPr>
      </w:pPr>
      <w:r>
        <w:rPr>
          <w:rFonts w:hint="eastAsia"/>
          <w:b/>
        </w:rPr>
        <w:t xml:space="preserve">A.0.9  </w:t>
      </w:r>
      <w:r>
        <w:rPr>
          <w:rFonts w:hint="eastAsia"/>
        </w:rPr>
        <w:t>检测报告应至少包括以下内容：</w:t>
      </w:r>
    </w:p>
    <w:p>
      <w:pPr>
        <w:snapToGrid w:val="0"/>
        <w:spacing w:line="360" w:lineRule="auto"/>
        <w:ind w:firstLine="310" w:firstLineChars="147"/>
      </w:pPr>
      <w:r>
        <w:rPr>
          <w:rFonts w:hint="eastAsia"/>
          <w:b/>
        </w:rPr>
        <w:t xml:space="preserve">1  </w:t>
      </w:r>
      <w:r>
        <w:rPr>
          <w:rFonts w:hint="eastAsia"/>
        </w:rPr>
        <w:t>工程名称、委托单位；</w:t>
      </w:r>
    </w:p>
    <w:p>
      <w:pPr>
        <w:snapToGrid w:val="0"/>
        <w:spacing w:line="360" w:lineRule="auto"/>
        <w:ind w:firstLine="310" w:firstLineChars="147"/>
        <w:rPr>
          <w:b/>
        </w:rPr>
      </w:pPr>
      <w:r>
        <w:rPr>
          <w:b/>
        </w:rPr>
        <w:t>2</w:t>
      </w:r>
      <w:r>
        <w:rPr>
          <w:rFonts w:hint="eastAsia"/>
          <w:b/>
        </w:rPr>
        <w:t xml:space="preserve">  </w:t>
      </w:r>
      <w:r>
        <w:rPr>
          <w:rFonts w:hint="eastAsia"/>
        </w:rPr>
        <w:t>目的和依据；</w:t>
      </w:r>
    </w:p>
    <w:p>
      <w:pPr>
        <w:snapToGrid w:val="0"/>
        <w:spacing w:line="360" w:lineRule="auto"/>
        <w:ind w:firstLine="310" w:firstLineChars="147"/>
        <w:rPr>
          <w:b/>
        </w:rPr>
      </w:pPr>
      <w:r>
        <w:rPr>
          <w:b/>
        </w:rPr>
        <w:t>3</w:t>
      </w:r>
      <w:r>
        <w:rPr>
          <w:rFonts w:hint="eastAsia"/>
          <w:b/>
        </w:rPr>
        <w:t xml:space="preserve">  </w:t>
      </w:r>
      <w:r>
        <w:rPr>
          <w:rFonts w:hint="eastAsia"/>
        </w:rPr>
        <w:t>检测仪器型号及编号；</w:t>
      </w:r>
    </w:p>
    <w:p>
      <w:pPr>
        <w:snapToGrid w:val="0"/>
        <w:spacing w:line="360" w:lineRule="auto"/>
        <w:ind w:firstLine="310" w:firstLineChars="147"/>
        <w:rPr>
          <w:b/>
        </w:rPr>
      </w:pPr>
      <w:r>
        <w:rPr>
          <w:b/>
        </w:rPr>
        <w:t>4</w:t>
      </w:r>
      <w:r>
        <w:rPr>
          <w:rFonts w:hint="eastAsia"/>
          <w:b/>
        </w:rPr>
        <w:t xml:space="preserve">  </w:t>
      </w:r>
      <w:r>
        <w:rPr>
          <w:rFonts w:hint="eastAsia"/>
        </w:rPr>
        <w:t>检测时间、环境条件；</w:t>
      </w:r>
    </w:p>
    <w:p>
      <w:pPr>
        <w:snapToGrid w:val="0"/>
        <w:spacing w:line="360" w:lineRule="auto"/>
        <w:ind w:firstLine="310" w:firstLineChars="147"/>
        <w:rPr>
          <w:b/>
        </w:rPr>
      </w:pPr>
      <w:r>
        <w:rPr>
          <w:b/>
        </w:rPr>
        <w:t>5</w:t>
      </w:r>
      <w:r>
        <w:rPr>
          <w:rFonts w:hint="eastAsia"/>
          <w:b/>
        </w:rPr>
        <w:t xml:space="preserve">  </w:t>
      </w:r>
      <w:r>
        <w:rPr>
          <w:rFonts w:hint="eastAsia"/>
        </w:rPr>
        <w:t>构件类型、编号、测区位置、成像结果及分析、缺陷位置及分布等；</w:t>
      </w:r>
    </w:p>
    <w:p>
      <w:pPr>
        <w:snapToGrid w:val="0"/>
        <w:spacing w:line="360" w:lineRule="auto"/>
        <w:ind w:firstLine="310" w:firstLineChars="147"/>
        <w:rPr>
          <w:b/>
          <w:highlight w:val="yellow"/>
        </w:rPr>
      </w:pPr>
      <w:r>
        <w:rPr>
          <w:b/>
        </w:rPr>
        <w:t>6</w:t>
      </w:r>
      <w:r>
        <w:rPr>
          <w:rFonts w:hint="eastAsia"/>
          <w:b/>
        </w:rPr>
        <w:t xml:space="preserve">  </w:t>
      </w:r>
      <w:r>
        <w:rPr>
          <w:rFonts w:hint="eastAsia"/>
        </w:rPr>
        <w:t>检测结论。</w:t>
      </w:r>
    </w:p>
    <w:p>
      <w:pPr>
        <w:tabs>
          <w:tab w:val="right" w:pos="5920"/>
        </w:tabs>
        <w:rPr>
          <w:b/>
          <w:color w:val="FF0000"/>
        </w:rPr>
        <w:sectPr>
          <w:pgSz w:w="7938" w:h="11510"/>
          <w:pgMar w:top="1083" w:right="1009" w:bottom="1083" w:left="1009" w:header="851" w:footer="992" w:gutter="0"/>
          <w:cols w:space="425" w:num="1"/>
          <w:docGrid w:type="lines" w:linePitch="312" w:charSpace="0"/>
        </w:sectPr>
      </w:pPr>
    </w:p>
    <w:p>
      <w:pPr>
        <w:pStyle w:val="2"/>
      </w:pPr>
      <w:bookmarkStart w:id="302" w:name="_Toc17273671"/>
      <w:bookmarkStart w:id="303" w:name="_Toc12959542"/>
      <w:bookmarkStart w:id="304" w:name="_Toc12886320"/>
      <w:bookmarkStart w:id="305" w:name="_Toc8736848"/>
      <w:r>
        <w:rPr>
          <w:rFonts w:hint="eastAsia"/>
        </w:rPr>
        <w:t>附录B  预制构件粗糙面</w:t>
      </w:r>
      <w:bookmarkStart w:id="306" w:name="_Hlk6565579"/>
      <w:r>
        <w:rPr>
          <w:rFonts w:hint="eastAsia"/>
        </w:rPr>
        <w:t>凹凸深度检测</w:t>
      </w:r>
      <w:bookmarkEnd w:id="306"/>
      <w:r>
        <w:rPr>
          <w:rFonts w:hint="eastAsia"/>
        </w:rPr>
        <w:t>方法</w:t>
      </w:r>
      <w:bookmarkEnd w:id="302"/>
      <w:bookmarkEnd w:id="303"/>
      <w:bookmarkEnd w:id="304"/>
      <w:bookmarkEnd w:id="305"/>
      <w:r>
        <w:fldChar w:fldCharType="begin"/>
      </w:r>
      <w:r>
        <w:instrText xml:space="preserve"> </w:instrText>
      </w:r>
      <w:r>
        <w:rPr>
          <w:rFonts w:hint="eastAsia"/>
        </w:rPr>
        <w:instrText xml:space="preserve">TC  "</w:instrText>
      </w:r>
      <w:bookmarkStart w:id="307" w:name="_Toc17274710"/>
      <w:r>
        <w:rPr>
          <w:rFonts w:hint="eastAsia"/>
        </w:rPr>
        <w:instrText xml:space="preserve">Appendix B  </w:instrText>
      </w:r>
      <w:r>
        <w:instrText xml:space="preserve">I</w:instrText>
      </w:r>
      <w:r>
        <w:rPr>
          <w:rFonts w:hint="eastAsia"/>
        </w:rPr>
        <w:instrText xml:space="preserve">nspection method of Bump Depth for rough surface of precast component</w:instrText>
      </w:r>
      <w:bookmarkEnd w:id="307"/>
      <w:r>
        <w:rPr>
          <w:rFonts w:hint="eastAsia"/>
        </w:rPr>
        <w:instrText xml:space="preserve">" \l 1</w:instrText>
      </w:r>
      <w:r>
        <w:instrText xml:space="preserve"> </w:instrText>
      </w:r>
      <w:r>
        <w:fldChar w:fldCharType="end"/>
      </w:r>
    </w:p>
    <w:p>
      <w:r>
        <w:rPr>
          <w:b/>
        </w:rPr>
        <w:t>B.0.1</w:t>
      </w:r>
      <w:r>
        <w:t xml:space="preserve">  本</w:t>
      </w:r>
      <w:r>
        <w:rPr>
          <w:rFonts w:hint="eastAsia"/>
        </w:rPr>
        <w:t>方法</w:t>
      </w:r>
      <w:r>
        <w:t>适用于预制构件</w:t>
      </w:r>
      <w:r>
        <w:rPr>
          <w:rFonts w:hint="eastAsia"/>
        </w:rPr>
        <w:t>粗糙面凹凸深度检测。</w:t>
      </w:r>
    </w:p>
    <w:p>
      <w:r>
        <w:rPr>
          <w:b/>
        </w:rPr>
        <w:t>B</w:t>
      </w:r>
      <w:r>
        <w:rPr>
          <w:rFonts w:eastAsia="黑体"/>
          <w:b/>
          <w:bCs/>
        </w:rPr>
        <w:t xml:space="preserve">.0.2  </w:t>
      </w:r>
      <w:r>
        <w:t>检测仪器</w:t>
      </w:r>
      <w:r>
        <w:rPr>
          <w:rFonts w:hint="eastAsia"/>
        </w:rPr>
        <w:t>和</w:t>
      </w:r>
      <w:r>
        <w:t>辅助工具应符合下列规定：</w:t>
      </w:r>
    </w:p>
    <w:p>
      <w:pPr>
        <w:ind w:firstLine="316" w:firstLineChars="150"/>
      </w:pPr>
      <w:r>
        <w:rPr>
          <w:b/>
          <w:bCs/>
        </w:rPr>
        <w:t xml:space="preserve">1  </w:t>
      </w:r>
      <w:r>
        <w:t>钢尺分度值应为1mm。</w:t>
      </w:r>
    </w:p>
    <w:p>
      <w:pPr>
        <w:ind w:firstLine="316" w:firstLineChars="150"/>
      </w:pPr>
      <w:r>
        <w:rPr>
          <w:rFonts w:eastAsia="黑体"/>
          <w:b/>
          <w:bCs/>
        </w:rPr>
        <w:t xml:space="preserve">2  </w:t>
      </w:r>
      <w:r>
        <w:rPr>
          <w:rFonts w:hint="eastAsia"/>
        </w:rPr>
        <w:t>测深尺</w:t>
      </w:r>
      <w:r>
        <w:t>可采用贯入深度测量表、深度计或游标卡尺，</w:t>
      </w:r>
      <w:r>
        <w:rPr>
          <w:rFonts w:hint="eastAsia"/>
        </w:rPr>
        <w:t>测深</w:t>
      </w:r>
      <w:r>
        <w:t>量程不宜小于20mm，精度</w:t>
      </w:r>
      <w:r>
        <w:rPr>
          <w:rFonts w:hint="eastAsia"/>
        </w:rPr>
        <w:t>不应低于</w:t>
      </w:r>
      <w:r>
        <w:t>0.01mm。</w:t>
      </w:r>
    </w:p>
    <w:p>
      <w:pPr>
        <w:ind w:firstLine="316" w:firstLineChars="150"/>
      </w:pPr>
      <w:r>
        <w:rPr>
          <w:rFonts w:eastAsia="黑体"/>
          <w:b/>
          <w:bCs/>
        </w:rPr>
        <w:t>3</w:t>
      </w:r>
      <w:r>
        <w:t xml:space="preserve">  基准板宜采用环形硬质</w:t>
      </w:r>
      <w:r>
        <w:rPr>
          <w:rFonts w:hint="eastAsia"/>
        </w:rPr>
        <w:t>透明</w:t>
      </w:r>
      <w:r>
        <w:t>塑料板，厚度应为5±0.1mm</w:t>
      </w:r>
      <w:r>
        <w:rPr>
          <w:rFonts w:hint="eastAsia"/>
        </w:rPr>
        <w:t>，</w:t>
      </w:r>
      <w:r>
        <w:t>中心孔径应为5±0.1mm，外环直径应为60±0.1mm或100±0.1mm。</w:t>
      </w:r>
    </w:p>
    <w:p>
      <w:r>
        <w:rPr>
          <w:b/>
        </w:rPr>
        <w:t>B</w:t>
      </w:r>
      <w:r>
        <w:rPr>
          <w:rFonts w:eastAsia="黑体"/>
          <w:b/>
          <w:bCs/>
        </w:rPr>
        <w:t xml:space="preserve">.0.3  </w:t>
      </w:r>
      <w:r>
        <w:rPr>
          <w:rFonts w:hint="eastAsia"/>
        </w:rPr>
        <w:t>粗糙面面积占结合面面积比例应通过计算确定，且应符合下列规定：</w:t>
      </w:r>
    </w:p>
    <w:p>
      <w:pPr>
        <w:ind w:firstLine="316" w:firstLineChars="150"/>
      </w:pPr>
      <w:r>
        <w:rPr>
          <w:b/>
        </w:rPr>
        <w:t xml:space="preserve">1  </w:t>
      </w:r>
      <w:r>
        <w:rPr>
          <w:rFonts w:hint="eastAsia"/>
        </w:rPr>
        <w:t>采用钢尺分别测量结合面和粗糙面边界边长，精确至1mm。</w:t>
      </w:r>
    </w:p>
    <w:p>
      <w:pPr>
        <w:ind w:firstLine="316" w:firstLineChars="150"/>
      </w:pPr>
      <w:r>
        <w:rPr>
          <w:rFonts w:hint="eastAsia"/>
          <w:b/>
        </w:rPr>
        <w:t>2</w:t>
      </w:r>
      <w:r>
        <w:rPr>
          <w:b/>
        </w:rPr>
        <w:t xml:space="preserve">  </w:t>
      </w:r>
      <w:r>
        <w:rPr>
          <w:rFonts w:hint="eastAsia"/>
        </w:rPr>
        <w:t>分别计算结合面和粗糙面面积。</w:t>
      </w:r>
    </w:p>
    <w:p>
      <w:r>
        <w:rPr>
          <w:b/>
        </w:rPr>
        <w:t>B</w:t>
      </w:r>
      <w:r>
        <w:rPr>
          <w:rFonts w:eastAsia="黑体"/>
          <w:b/>
          <w:bCs/>
        </w:rPr>
        <w:t xml:space="preserve">.0.4  </w:t>
      </w:r>
      <w:r>
        <w:t>粗糙面凹凸深度</w:t>
      </w:r>
      <w:r>
        <w:rPr>
          <w:rFonts w:hint="eastAsia"/>
        </w:rPr>
        <w:t>检测的</w:t>
      </w:r>
      <w:r>
        <w:t>测区布置应符合下列规定：</w:t>
      </w:r>
    </w:p>
    <w:p>
      <w:pPr>
        <w:ind w:firstLine="316" w:firstLineChars="150"/>
      </w:pPr>
      <w:r>
        <w:rPr>
          <w:rFonts w:eastAsia="黑体"/>
          <w:b/>
          <w:bCs/>
        </w:rPr>
        <w:t xml:space="preserve">1  </w:t>
      </w:r>
      <w:r>
        <w:t>测区应避开明显突出棱角区域</w:t>
      </w:r>
      <w:r>
        <w:rPr>
          <w:rFonts w:hint="eastAsia"/>
        </w:rPr>
        <w:t>且表面无颗粒杂物。</w:t>
      </w:r>
    </w:p>
    <w:p>
      <w:pPr>
        <w:ind w:firstLine="316" w:firstLineChars="150"/>
        <w:rPr>
          <w:rFonts w:eastAsia="黑体"/>
          <w:b/>
          <w:bCs/>
        </w:rPr>
      </w:pPr>
      <w:r>
        <w:rPr>
          <w:rFonts w:hint="eastAsia" w:eastAsia="黑体"/>
          <w:b/>
          <w:bCs/>
        </w:rPr>
        <w:t>2</w:t>
      </w:r>
      <w:r>
        <w:rPr>
          <w:rFonts w:eastAsia="黑体"/>
          <w:b/>
          <w:bCs/>
        </w:rPr>
        <w:t xml:space="preserve">  </w:t>
      </w:r>
      <w:r>
        <w:t>测区应</w:t>
      </w:r>
      <w:r>
        <w:rPr>
          <w:rFonts w:hint="eastAsia"/>
        </w:rPr>
        <w:t>分布均匀，</w:t>
      </w:r>
      <w:r>
        <w:t>测区中心距粗糙面边界不应大于0.5m，相邻测区中心间距不应大于1m</w:t>
      </w:r>
      <w:r>
        <w:rPr>
          <w:rFonts w:hint="eastAsia"/>
        </w:rPr>
        <w:t>。</w:t>
      </w:r>
    </w:p>
    <w:p>
      <w:pPr>
        <w:ind w:firstLine="316" w:firstLineChars="150"/>
      </w:pPr>
      <w:r>
        <w:rPr>
          <w:rFonts w:eastAsia="黑体"/>
          <w:b/>
          <w:bCs/>
        </w:rPr>
        <w:t xml:space="preserve">3  </w:t>
      </w:r>
      <w:r>
        <w:t>测区</w:t>
      </w:r>
      <w:r>
        <w:rPr>
          <w:rFonts w:hint="eastAsia"/>
        </w:rPr>
        <w:t>形状</w:t>
      </w:r>
      <w:r>
        <w:t>应</w:t>
      </w:r>
      <w:r>
        <w:rPr>
          <w:rFonts w:hint="eastAsia"/>
        </w:rPr>
        <w:t>为</w:t>
      </w:r>
      <w:r>
        <w:t>圆形，</w:t>
      </w:r>
      <w:r>
        <w:rPr>
          <w:rFonts w:hint="eastAsia"/>
        </w:rPr>
        <w:t>当</w:t>
      </w:r>
      <w:r>
        <w:t>凹坑或凹槽间距</w:t>
      </w:r>
      <w:r>
        <w:rPr>
          <w:rFonts w:hint="eastAsia"/>
        </w:rPr>
        <w:t>无设计要求</w:t>
      </w:r>
      <w:r>
        <w:t>时，凹坑粗糙面测区直径</w:t>
      </w:r>
      <w:r>
        <w:rPr>
          <w:rFonts w:hint="eastAsia"/>
        </w:rPr>
        <w:t>可</w:t>
      </w:r>
      <w:r>
        <w:t>为60mm</w:t>
      </w:r>
      <w:r>
        <w:rPr>
          <w:rFonts w:hint="eastAsia"/>
        </w:rPr>
        <w:t>，</w:t>
      </w:r>
      <w:r>
        <w:t>凹槽粗糙面</w:t>
      </w:r>
      <w:r>
        <w:rPr>
          <w:rFonts w:hint="eastAsia"/>
        </w:rPr>
        <w:t>测区</w:t>
      </w:r>
      <w:r>
        <w:t>直径</w:t>
      </w:r>
      <w:r>
        <w:rPr>
          <w:rFonts w:hint="eastAsia"/>
        </w:rPr>
        <w:t>可</w:t>
      </w:r>
      <w:r>
        <w:t>为100mm；</w:t>
      </w:r>
      <w:r>
        <w:rPr>
          <w:rFonts w:hint="eastAsia"/>
        </w:rPr>
        <w:t>当</w:t>
      </w:r>
      <w:r>
        <w:t>凹坑或凹槽间距</w:t>
      </w:r>
      <w:r>
        <w:rPr>
          <w:rFonts w:hint="eastAsia"/>
        </w:rPr>
        <w:t>有明确设计要求</w:t>
      </w:r>
      <w:r>
        <w:t>时，测区直径宜为</w:t>
      </w:r>
      <w:r>
        <w:rPr>
          <w:rFonts w:hint="eastAsia"/>
        </w:rPr>
        <w:t>设计</w:t>
      </w:r>
      <w:r>
        <w:t>间距的</w:t>
      </w:r>
      <w:r>
        <w:rPr>
          <w:rFonts w:hint="eastAsia"/>
        </w:rPr>
        <w:t>2</w:t>
      </w:r>
      <w:r>
        <w:t>倍。</w:t>
      </w:r>
    </w:p>
    <w:p>
      <w:pPr>
        <w:ind w:firstLine="316" w:firstLineChars="150"/>
      </w:pPr>
      <w:r>
        <w:rPr>
          <w:rFonts w:eastAsia="黑体"/>
          <w:b/>
          <w:bCs/>
        </w:rPr>
        <w:t xml:space="preserve">4  </w:t>
      </w:r>
      <w:r>
        <w:t>梁、柱端</w:t>
      </w:r>
      <w:r>
        <w:rPr>
          <w:rFonts w:hint="eastAsia"/>
        </w:rPr>
        <w:t>测区数量</w:t>
      </w:r>
      <w:r>
        <w:t>不应少于5个</w:t>
      </w:r>
      <w:r>
        <w:rPr>
          <w:rFonts w:hint="eastAsia"/>
        </w:rPr>
        <w:t>；</w:t>
      </w:r>
      <w:r>
        <w:t>叠合板面</w:t>
      </w:r>
      <w:r>
        <w:rPr>
          <w:rFonts w:hint="eastAsia"/>
        </w:rPr>
        <w:t>、</w:t>
      </w:r>
      <w:r>
        <w:t>叠合梁面、剪力墙顶部、底部及侧面</w:t>
      </w:r>
      <w:r>
        <w:rPr>
          <w:rFonts w:hint="eastAsia"/>
        </w:rPr>
        <w:t>测区数量</w:t>
      </w:r>
      <w:r>
        <w:t>不应少于10个。</w:t>
      </w:r>
    </w:p>
    <w:p>
      <w:pPr>
        <w:ind w:firstLine="316" w:firstLineChars="150"/>
      </w:pPr>
      <w:r>
        <w:rPr>
          <w:b/>
          <w:bCs/>
        </w:rPr>
        <w:t xml:space="preserve">5  </w:t>
      </w:r>
      <w:r>
        <w:t>测区应</w:t>
      </w:r>
      <w:r>
        <w:rPr>
          <w:rFonts w:hint="eastAsia"/>
        </w:rPr>
        <w:t>统一编号</w:t>
      </w:r>
      <w:r>
        <w:t>，</w:t>
      </w:r>
      <w:r>
        <w:rPr>
          <w:rFonts w:hint="eastAsia"/>
        </w:rPr>
        <w:t>注明位置，并描述其外观质量情况</w:t>
      </w:r>
      <w:r>
        <w:t>。</w:t>
      </w:r>
    </w:p>
    <w:p>
      <w:r>
        <w:rPr>
          <w:b/>
        </w:rPr>
        <w:t>B</w:t>
      </w:r>
      <w:r>
        <w:rPr>
          <w:rFonts w:eastAsia="黑体"/>
          <w:b/>
          <w:bCs/>
        </w:rPr>
        <w:t xml:space="preserve">.0.5  </w:t>
      </w:r>
      <w:r>
        <w:t>粗糙面凹凸深度检测应符合下列规定：</w:t>
      </w:r>
    </w:p>
    <w:p>
      <w:pPr>
        <w:ind w:firstLine="316" w:firstLineChars="150"/>
      </w:pPr>
      <w:r>
        <w:rPr>
          <w:rFonts w:eastAsia="黑体"/>
          <w:b/>
          <w:bCs/>
        </w:rPr>
        <w:t xml:space="preserve">1  </w:t>
      </w:r>
      <w:r>
        <w:t>凹坑粗糙面应选用外环直径为60±0.1mm基准板</w:t>
      </w:r>
      <w:r>
        <w:rPr>
          <w:rFonts w:hint="eastAsia"/>
        </w:rPr>
        <w:t>，</w:t>
      </w:r>
      <w:r>
        <w:t>凹槽粗糙面应选用外环直径为100±0.1mm基准板。</w:t>
      </w:r>
    </w:p>
    <w:p>
      <w:pPr>
        <w:ind w:firstLine="316" w:firstLineChars="150"/>
      </w:pPr>
      <w:r>
        <w:rPr>
          <w:rFonts w:eastAsia="黑体"/>
          <w:b/>
          <w:bCs/>
        </w:rPr>
        <w:t xml:space="preserve">2  </w:t>
      </w:r>
      <w:r>
        <w:t>测量时基准板应紧贴粗糙面，基准板中心孔不应超出测区范围</w:t>
      </w:r>
      <w:r>
        <w:rPr>
          <w:rFonts w:hint="eastAsia"/>
        </w:rPr>
        <w:t>；</w:t>
      </w:r>
      <w:r>
        <w:t>测深</w:t>
      </w:r>
      <w:r>
        <w:rPr>
          <w:rFonts w:hint="eastAsia"/>
        </w:rPr>
        <w:t>尺</w:t>
      </w:r>
      <w:r>
        <w:t>应紧贴基准板表面</w:t>
      </w:r>
      <w:r>
        <w:rPr>
          <w:rFonts w:hint="eastAsia"/>
        </w:rPr>
        <w:t>且保持</w:t>
      </w:r>
      <w:bookmarkStart w:id="308" w:name="_Hlk522022232"/>
      <w:r>
        <w:t>测深探针</w:t>
      </w:r>
      <w:bookmarkEnd w:id="308"/>
      <w:r>
        <w:t>垂直于基准板</w:t>
      </w:r>
      <w:r>
        <w:rPr>
          <w:rFonts w:hint="eastAsia"/>
        </w:rPr>
        <w:t>；测深探针应</w:t>
      </w:r>
      <w:r>
        <w:t>穿过</w:t>
      </w:r>
      <w:r>
        <w:rPr>
          <w:rFonts w:hint="eastAsia"/>
        </w:rPr>
        <w:t>基准板</w:t>
      </w:r>
      <w:r>
        <w:t>中心孔接触凹坑或凹槽底部</w:t>
      </w:r>
      <w:r>
        <w:rPr>
          <w:rFonts w:hint="eastAsia"/>
        </w:rPr>
        <w:t>。</w:t>
      </w:r>
    </w:p>
    <w:p>
      <w:pPr>
        <w:ind w:firstLine="316" w:firstLineChars="150"/>
      </w:pPr>
      <w:r>
        <w:rPr>
          <w:rFonts w:eastAsia="黑体"/>
          <w:b/>
          <w:bCs/>
        </w:rPr>
        <w:t xml:space="preserve">3  </w:t>
      </w:r>
      <w:r>
        <w:t>可通过移动基准板</w:t>
      </w:r>
      <w:r>
        <w:rPr>
          <w:rFonts w:hint="eastAsia"/>
        </w:rPr>
        <w:t>对测区内</w:t>
      </w:r>
      <w:r>
        <w:t>凹坑</w:t>
      </w:r>
      <w:r>
        <w:rPr>
          <w:rFonts w:hint="eastAsia"/>
        </w:rPr>
        <w:t>或凹槽深度进行测量，每个测区不同位置测量次数不应少于</w:t>
      </w:r>
      <w:r>
        <w:t>5</w:t>
      </w:r>
      <w:r>
        <w:rPr>
          <w:rFonts w:hint="eastAsia"/>
        </w:rPr>
        <w:t>次，以保证测深尺探针能够测量到测区内凹坑或凹槽最低点深度。</w:t>
      </w:r>
    </w:p>
    <w:p>
      <w:pPr>
        <w:ind w:firstLine="316" w:firstLineChars="150"/>
      </w:pPr>
      <w:r>
        <w:rPr>
          <w:b/>
        </w:rPr>
        <w:t>4</w:t>
      </w:r>
      <w:r>
        <w:t xml:space="preserve">  </w:t>
      </w:r>
      <w:r>
        <w:rPr>
          <w:rFonts w:hint="eastAsia"/>
        </w:rPr>
        <w:t>测区内</w:t>
      </w:r>
      <w:r>
        <w:t>凹凸深度</w:t>
      </w:r>
      <w:r>
        <w:rPr>
          <w:rFonts w:hint="eastAsia"/>
        </w:rPr>
        <w:t>最大值</w:t>
      </w:r>
      <w:r>
        <w:t>减去基准板厚度即为该测区的凹凸深度。</w:t>
      </w:r>
    </w:p>
    <w:p>
      <w:pPr>
        <w:tabs>
          <w:tab w:val="right" w:pos="5920"/>
        </w:tabs>
        <w:rPr>
          <w:b/>
          <w:color w:val="FF0000"/>
        </w:rPr>
        <w:sectPr>
          <w:pgSz w:w="7938" w:h="11510"/>
          <w:pgMar w:top="1083" w:right="1009" w:bottom="1083" w:left="1009" w:header="851" w:footer="992" w:gutter="0"/>
          <w:cols w:space="425" w:num="1"/>
          <w:docGrid w:type="lines" w:linePitch="312" w:charSpace="0"/>
        </w:sectPr>
      </w:pPr>
    </w:p>
    <w:p>
      <w:pPr>
        <w:pStyle w:val="2"/>
        <w:ind w:left="1120" w:hanging="1120" w:hangingChars="400"/>
        <w:jc w:val="both"/>
      </w:pPr>
      <w:bookmarkStart w:id="309" w:name="_Toc6318090"/>
      <w:bookmarkStart w:id="310" w:name="_Toc12959543"/>
      <w:bookmarkStart w:id="311" w:name="_Toc17273672"/>
      <w:bookmarkStart w:id="312" w:name="_Toc8736849"/>
      <w:bookmarkStart w:id="313" w:name="_Toc12886321"/>
      <w:bookmarkStart w:id="314" w:name="_Toc6325071"/>
      <w:r>
        <w:rPr>
          <w:rFonts w:hint="eastAsia"/>
        </w:rPr>
        <w:t>附录C  用于量测灌浆套筒及连接钢筋中心线位置偏差的坐标定位法</w:t>
      </w:r>
      <w:bookmarkEnd w:id="309"/>
      <w:bookmarkEnd w:id="310"/>
      <w:bookmarkEnd w:id="311"/>
      <w:bookmarkEnd w:id="312"/>
      <w:bookmarkEnd w:id="313"/>
      <w:bookmarkEnd w:id="314"/>
      <w:r>
        <w:fldChar w:fldCharType="begin"/>
      </w:r>
      <w:r>
        <w:instrText xml:space="preserve"> </w:instrText>
      </w:r>
      <w:r>
        <w:rPr>
          <w:rFonts w:hint="eastAsia"/>
        </w:rPr>
        <w:instrText xml:space="preserve">TC  "</w:instrText>
      </w:r>
      <w:bookmarkStart w:id="315" w:name="_Toc17274711"/>
      <w:r>
        <w:rPr>
          <w:rFonts w:hint="eastAsia"/>
        </w:rPr>
        <w:instrText xml:space="preserve">Appendix C  axis position bars by coordinate of grout sleeves and dowel orientation method for measuring center line location tolerances</w:instrText>
      </w:r>
      <w:bookmarkEnd w:id="315"/>
      <w:r>
        <w:rPr>
          <w:rFonts w:hint="eastAsia"/>
        </w:rPr>
        <w:instrText xml:space="preserve">" \l 1</w:instrText>
      </w:r>
      <w:r>
        <w:instrText xml:space="preserve"> </w:instrText>
      </w:r>
      <w:r>
        <w:fldChar w:fldCharType="end"/>
      </w:r>
    </w:p>
    <w:p>
      <w:r>
        <w:rPr>
          <w:rFonts w:hint="eastAsia"/>
          <w:b/>
        </w:rPr>
        <w:t>C.0.1</w:t>
      </w:r>
      <w:r>
        <w:t xml:space="preserve">  </w:t>
      </w:r>
      <w:r>
        <w:rPr>
          <w:rFonts w:hint="eastAsia"/>
        </w:rPr>
        <w:t>本方法适用于预制墙板、柱的灌浆套筒和连接钢筋中心线位置偏差检测。</w:t>
      </w:r>
    </w:p>
    <w:p>
      <w:r>
        <w:rPr>
          <w:rFonts w:hint="eastAsia"/>
          <w:b/>
        </w:rPr>
        <w:t>C.0.2</w:t>
      </w:r>
      <w:r>
        <w:rPr>
          <w:b/>
        </w:rPr>
        <w:t xml:space="preserve">  </w:t>
      </w:r>
      <w:r>
        <w:rPr>
          <w:rFonts w:hint="eastAsia"/>
        </w:rPr>
        <w:t>平面直角坐标系的建立应符合下列规定：</w:t>
      </w:r>
    </w:p>
    <w:p>
      <w:pPr>
        <w:ind w:firstLine="422" w:firstLineChars="200"/>
      </w:pPr>
      <w:r>
        <w:rPr>
          <w:rFonts w:hint="eastAsia"/>
          <w:b/>
        </w:rPr>
        <w:t>1</w:t>
      </w:r>
      <w:r>
        <w:t xml:space="preserve">  </w:t>
      </w:r>
      <w:r>
        <w:rPr>
          <w:rFonts w:hint="eastAsia"/>
        </w:rPr>
        <w:t>坐标原点宜选取位于预制墙板端部、预制柱角部灌浆套筒或连接钢筋截面圆心。</w:t>
      </w:r>
    </w:p>
    <w:p>
      <w:pPr>
        <w:ind w:firstLine="422" w:firstLineChars="200"/>
      </w:pPr>
      <w:r>
        <w:rPr>
          <w:b/>
        </w:rPr>
        <w:t xml:space="preserve">2  </w:t>
      </w:r>
      <w:r>
        <w:rPr>
          <w:rFonts w:hint="eastAsia"/>
        </w:rPr>
        <w:t>坐标原点与水平方向相邻灌浆套筒或连接钢筋截面圆心两点连线确定</w:t>
      </w:r>
      <w:r>
        <w:rPr>
          <w:rFonts w:hint="eastAsia"/>
          <w:i/>
        </w:rPr>
        <w:t>x</w:t>
      </w:r>
      <w:r>
        <w:rPr>
          <w:rFonts w:hint="eastAsia"/>
        </w:rPr>
        <w:t>轴，垂直</w:t>
      </w:r>
      <w:r>
        <w:rPr>
          <w:rFonts w:hint="eastAsia"/>
          <w:i/>
        </w:rPr>
        <w:t>x</w:t>
      </w:r>
      <w:r>
        <w:rPr>
          <w:rFonts w:hint="eastAsia"/>
        </w:rPr>
        <w:t>轴建立</w:t>
      </w:r>
      <w:r>
        <w:rPr>
          <w:rFonts w:hint="eastAsia"/>
          <w:i/>
        </w:rPr>
        <w:t>y</w:t>
      </w:r>
      <w:r>
        <w:rPr>
          <w:rFonts w:hint="eastAsia"/>
        </w:rPr>
        <w:t>轴。</w:t>
      </w:r>
    </w:p>
    <w:p>
      <w:pPr>
        <w:spacing w:line="374" w:lineRule="exact"/>
      </w:pPr>
      <w:r>
        <w:rPr>
          <w:rFonts w:hint="eastAsia"/>
          <w:b/>
        </w:rPr>
        <w:t>C</w:t>
      </w:r>
      <w:r>
        <w:rPr>
          <w:b/>
        </w:rPr>
        <w:t>.0.3</w:t>
      </w:r>
      <w:r>
        <w:t xml:space="preserve">  </w:t>
      </w:r>
      <w:r>
        <w:rPr>
          <w:rFonts w:hint="eastAsia"/>
        </w:rPr>
        <w:t>坐标定位法量测灌浆套筒和插筋中心线位置应按下列步骤进行：</w:t>
      </w:r>
    </w:p>
    <w:p>
      <w:pPr>
        <w:ind w:firstLine="422" w:firstLineChars="200"/>
      </w:pPr>
      <w:r>
        <w:rPr>
          <w:rFonts w:hint="eastAsia"/>
          <w:b/>
        </w:rPr>
        <w:t>1</w:t>
      </w:r>
      <w:r>
        <w:t xml:space="preserve">  </w:t>
      </w:r>
      <w:r>
        <w:rPr>
          <w:rFonts w:hint="eastAsia"/>
        </w:rPr>
        <w:t>建立灌浆套筒、连接钢筋中心线位置平面直角坐标系（图C.0.</w:t>
      </w:r>
      <w:r>
        <w:t>3</w:t>
      </w:r>
      <w:r>
        <w:rPr>
          <w:rFonts w:hint="eastAsia"/>
        </w:rPr>
        <w:t>）。</w:t>
      </w:r>
    </w:p>
    <w:tbl>
      <w:tblPr>
        <w:tblStyle w:val="27"/>
        <w:tblW w:w="6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8"/>
        <w:gridCol w:w="3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trPr>
        <w:tc>
          <w:tcPr>
            <w:tcW w:w="3068" w:type="dxa"/>
            <w:vAlign w:val="center"/>
          </w:tcPr>
          <w:p>
            <w:pPr>
              <w:jc w:val="center"/>
            </w:pPr>
            <w:r>
              <w:rPr>
                <w:rFonts w:hint="eastAsia"/>
              </w:rPr>
              <w:drawing>
                <wp:inline distT="0" distB="0" distL="0" distR="0">
                  <wp:extent cx="1489075" cy="683895"/>
                  <wp:effectExtent l="0" t="0" r="0" b="19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89594" cy="684000"/>
                          </a:xfrm>
                          <a:prstGeom prst="rect">
                            <a:avLst/>
                          </a:prstGeom>
                          <a:noFill/>
                          <a:ln>
                            <a:noFill/>
                          </a:ln>
                        </pic:spPr>
                      </pic:pic>
                    </a:graphicData>
                  </a:graphic>
                </wp:inline>
              </w:drawing>
            </w:r>
          </w:p>
        </w:tc>
        <w:tc>
          <w:tcPr>
            <w:tcW w:w="3068" w:type="dxa"/>
            <w:vAlign w:val="center"/>
          </w:tcPr>
          <w:p>
            <w:pPr>
              <w:jc w:val="center"/>
            </w:pPr>
            <w:r>
              <w:rPr>
                <w:rFonts w:hint="eastAsia"/>
              </w:rPr>
              <w:drawing>
                <wp:inline distT="0" distB="0" distL="0" distR="0">
                  <wp:extent cx="1489075" cy="683895"/>
                  <wp:effectExtent l="0" t="0" r="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89594" cy="684000"/>
                          </a:xfrm>
                          <a:prstGeom prst="rect">
                            <a:avLst/>
                          </a:prstGeom>
                          <a:noFill/>
                          <a:ln>
                            <a:noFill/>
                          </a:ln>
                        </pic:spPr>
                      </pic:pic>
                    </a:graphicData>
                  </a:graphic>
                </wp:inline>
              </w:drawing>
            </w:r>
          </w:p>
        </w:tc>
      </w:tr>
    </w:tbl>
    <w:p>
      <w:pPr>
        <w:jc w:val="center"/>
        <w:rPr>
          <w:sz w:val="15"/>
          <w:szCs w:val="15"/>
        </w:rPr>
      </w:pPr>
      <w:r>
        <w:rPr>
          <w:rFonts w:hint="eastAsia"/>
          <w:sz w:val="15"/>
          <w:szCs w:val="15"/>
        </w:rPr>
        <w:t>1—灌浆套筒；2—连接钢筋</w:t>
      </w:r>
    </w:p>
    <w:p>
      <w:pPr>
        <w:jc w:val="center"/>
        <w:rPr>
          <w:sz w:val="15"/>
          <w:szCs w:val="15"/>
        </w:rPr>
      </w:pPr>
      <w:r>
        <w:rPr>
          <w:rFonts w:hint="eastAsia"/>
          <w:sz w:val="18"/>
          <w:szCs w:val="18"/>
        </w:rPr>
        <w:t>图C.0.</w:t>
      </w:r>
      <w:r>
        <w:rPr>
          <w:sz w:val="18"/>
          <w:szCs w:val="18"/>
        </w:rPr>
        <w:t xml:space="preserve">3  </w:t>
      </w:r>
      <w:r>
        <w:rPr>
          <w:rFonts w:hint="eastAsia"/>
          <w:sz w:val="18"/>
          <w:szCs w:val="18"/>
        </w:rPr>
        <w:t>灌浆套筒与连接钢筋中心线位置坐标系及编号示意图</w:t>
      </w:r>
    </w:p>
    <w:p>
      <w:pPr>
        <w:spacing w:line="374" w:lineRule="auto"/>
        <w:ind w:firstLine="422" w:firstLineChars="200"/>
      </w:pPr>
      <w:r>
        <w:rPr>
          <w:b/>
        </w:rPr>
        <w:t>2</w:t>
      </w:r>
      <w:r>
        <w:t xml:space="preserve">  </w:t>
      </w:r>
      <w:r>
        <w:rPr>
          <w:rFonts w:hint="eastAsia"/>
        </w:rPr>
        <w:t>分别量测灌浆套筒中心线间距间距</w:t>
      </w:r>
      <w:bookmarkStart w:id="316" w:name="_Hlk6837287"/>
      <w:r>
        <w:rPr>
          <w:rFonts w:hint="eastAsia"/>
          <w:i/>
        </w:rPr>
        <w:t>a</w:t>
      </w:r>
      <w:r>
        <w:rPr>
          <w:vertAlign w:val="subscript"/>
        </w:rPr>
        <w:t>1</w:t>
      </w:r>
      <w:bookmarkEnd w:id="316"/>
      <w:r>
        <w:rPr>
          <w:rFonts w:hint="eastAsia"/>
          <w:i/>
        </w:rPr>
        <w:t>、</w:t>
      </w:r>
      <w:r>
        <w:rPr>
          <w:i/>
        </w:rPr>
        <w:t>a</w:t>
      </w:r>
      <w:r>
        <w:rPr>
          <w:rFonts w:hint="eastAsia"/>
          <w:vertAlign w:val="subscript"/>
        </w:rPr>
        <w:t>2</w:t>
      </w:r>
      <w:r>
        <w:rPr>
          <w:rFonts w:hint="eastAsia"/>
          <w:i/>
        </w:rPr>
        <w:t>、</w:t>
      </w:r>
      <w:r>
        <w:rPr>
          <w:i/>
        </w:rPr>
        <w:t>a</w:t>
      </w:r>
      <w:r>
        <w:rPr>
          <w:rFonts w:hint="eastAsia"/>
          <w:vertAlign w:val="subscript"/>
        </w:rPr>
        <w:t>3、</w:t>
      </w:r>
      <w:r>
        <w:rPr>
          <w:vertAlign w:val="subscript"/>
        </w:rPr>
        <w:t>……</w:t>
      </w:r>
      <w:r>
        <w:rPr>
          <w:rFonts w:hint="eastAsia"/>
        </w:rPr>
        <w:t>，连接钢筋间距</w:t>
      </w:r>
      <w:r>
        <w:rPr>
          <w:rFonts w:hint="eastAsia"/>
          <w:i/>
        </w:rPr>
        <w:t>b</w:t>
      </w:r>
      <w:r>
        <w:rPr>
          <w:vertAlign w:val="subscript"/>
        </w:rPr>
        <w:t>1</w:t>
      </w:r>
      <w:r>
        <w:rPr>
          <w:rFonts w:hint="eastAsia"/>
          <w:i/>
        </w:rPr>
        <w:t>、b</w:t>
      </w:r>
      <w:r>
        <w:rPr>
          <w:vertAlign w:val="subscript"/>
        </w:rPr>
        <w:t>2</w:t>
      </w:r>
      <w:r>
        <w:rPr>
          <w:rFonts w:hint="eastAsia"/>
          <w:i/>
        </w:rPr>
        <w:t>、b</w:t>
      </w:r>
      <w:r>
        <w:rPr>
          <w:vertAlign w:val="subscript"/>
        </w:rPr>
        <w:t>3</w:t>
      </w:r>
      <w:r>
        <w:rPr>
          <w:rFonts w:hint="eastAsia"/>
          <w:i/>
        </w:rPr>
        <w:t>、</w:t>
      </w:r>
      <w:r>
        <w:rPr>
          <w:vertAlign w:val="subscript"/>
        </w:rPr>
        <w:t>……</w:t>
      </w:r>
      <w:r>
        <w:rPr>
          <w:rFonts w:hint="eastAsia"/>
        </w:rPr>
        <w:t>，灌浆套筒和连接钢筋中心线位置坐标均按下列公式计算：</w:t>
      </w:r>
    </w:p>
    <w:tbl>
      <w:tblPr>
        <w:tblStyle w:val="26"/>
        <w:tblW w:w="6136" w:type="dxa"/>
        <w:tblInd w:w="0" w:type="dxa"/>
        <w:tblLayout w:type="fixed"/>
        <w:tblCellMar>
          <w:top w:w="0" w:type="dxa"/>
          <w:left w:w="108" w:type="dxa"/>
          <w:bottom w:w="0" w:type="dxa"/>
          <w:right w:w="108" w:type="dxa"/>
        </w:tblCellMar>
      </w:tblPr>
      <w:tblGrid>
        <w:gridCol w:w="231"/>
        <w:gridCol w:w="4474"/>
        <w:gridCol w:w="1431"/>
      </w:tblGrid>
      <w:tr>
        <w:tblPrEx>
          <w:tblLayout w:type="fixed"/>
          <w:tblCellMar>
            <w:top w:w="0" w:type="dxa"/>
            <w:left w:w="108" w:type="dxa"/>
            <w:bottom w:w="0" w:type="dxa"/>
            <w:right w:w="108" w:type="dxa"/>
          </w:tblCellMar>
        </w:tblPrEx>
        <w:trPr>
          <w:trHeight w:val="20" w:hRule="atLeast"/>
        </w:trPr>
        <w:tc>
          <w:tcPr>
            <w:tcW w:w="231" w:type="dxa"/>
            <w:shd w:val="clear" w:color="auto" w:fill="auto"/>
            <w:vAlign w:val="center"/>
          </w:tcPr>
          <w:p>
            <w:pPr>
              <w:jc w:val="center"/>
            </w:pPr>
          </w:p>
        </w:tc>
        <w:tc>
          <w:tcPr>
            <w:tcW w:w="4474" w:type="dxa"/>
            <w:shd w:val="clear" w:color="auto" w:fill="auto"/>
            <w:vAlign w:val="center"/>
          </w:tcPr>
          <w:p>
            <w:pPr>
              <w:jc w:val="center"/>
            </w:pPr>
            <w:r>
              <w:rPr>
                <w:i/>
              </w:rPr>
              <w:t>x</w:t>
            </w:r>
            <w:r>
              <w:rPr>
                <w:vertAlign w:val="subscript"/>
              </w:rPr>
              <w:t>1</w:t>
            </w:r>
            <w:r>
              <w:t>=0</w:t>
            </w:r>
            <w:r>
              <w:rPr>
                <w:rFonts w:hint="eastAsia"/>
              </w:rPr>
              <w:t>，</w:t>
            </w:r>
            <w:r>
              <w:rPr>
                <w:rFonts w:hint="eastAsia"/>
                <w:i/>
              </w:rPr>
              <w:t>y</w:t>
            </w:r>
            <w:r>
              <w:rPr>
                <w:vertAlign w:val="subscript"/>
              </w:rPr>
              <w:t>1</w:t>
            </w:r>
            <w:r>
              <w:t>=0</w:t>
            </w:r>
          </w:p>
        </w:tc>
        <w:tc>
          <w:tcPr>
            <w:tcW w:w="1431" w:type="dxa"/>
            <w:shd w:val="clear" w:color="auto" w:fill="auto"/>
            <w:vAlign w:val="center"/>
          </w:tcPr>
          <w:p>
            <w:pPr>
              <w:jc w:val="right"/>
            </w:pPr>
            <w:r>
              <w:rPr>
                <w:rFonts w:hint="eastAsia"/>
              </w:rPr>
              <w:t>（C.0.</w:t>
            </w:r>
            <w:r>
              <w:t>3</w:t>
            </w:r>
            <w:r>
              <w:rPr>
                <w:rFonts w:hint="eastAsia"/>
              </w:rPr>
              <w:t>-</w:t>
            </w:r>
            <w:r>
              <w:t>1</w:t>
            </w:r>
            <w:r>
              <w:rPr>
                <w:rFonts w:hint="eastAsia"/>
              </w:rPr>
              <w:t>）</w:t>
            </w:r>
          </w:p>
        </w:tc>
      </w:tr>
      <w:tr>
        <w:tblPrEx>
          <w:tblLayout w:type="fixed"/>
          <w:tblCellMar>
            <w:top w:w="0" w:type="dxa"/>
            <w:left w:w="108" w:type="dxa"/>
            <w:bottom w:w="0" w:type="dxa"/>
            <w:right w:w="108" w:type="dxa"/>
          </w:tblCellMar>
        </w:tblPrEx>
        <w:tc>
          <w:tcPr>
            <w:tcW w:w="231" w:type="dxa"/>
            <w:shd w:val="clear" w:color="auto" w:fill="auto"/>
            <w:vAlign w:val="center"/>
          </w:tcPr>
          <w:p>
            <w:pPr>
              <w:jc w:val="center"/>
            </w:pPr>
          </w:p>
        </w:tc>
        <w:tc>
          <w:tcPr>
            <w:tcW w:w="4474" w:type="dxa"/>
            <w:shd w:val="clear" w:color="auto" w:fill="auto"/>
            <w:vAlign w:val="center"/>
          </w:tcPr>
          <w:p>
            <w:pPr>
              <w:jc w:val="center"/>
            </w:pPr>
            <m:oMath>
              <m:sSub>
                <m:sSubPr>
                  <m:ctrlPr>
                    <w:rPr>
                      <w:rFonts w:ascii="Cambria Math" w:hAnsi="Cambria Math"/>
                    </w:rPr>
                  </m:ctrlPr>
                </m:sSubPr>
                <m:e>
                  <m:r>
                    <m:rPr>
                      <m:nor/>
                    </m:rPr>
                    <w:rPr>
                      <w:i/>
                    </w:rPr>
                    <m:t>x</m:t>
                  </m:r>
                  <m:ctrlPr>
                    <w:rPr>
                      <w:rFonts w:ascii="Cambria Math" w:hAnsi="Cambria Math"/>
                    </w:rPr>
                  </m:ctrlPr>
                </m:e>
                <m:sub>
                  <m:r>
                    <m:rPr>
                      <m:nor/>
                      <m:sty m:val="p"/>
                    </m:rPr>
                    <m:t>2</m:t>
                  </m:r>
                  <m:ctrlPr>
                    <w:rPr>
                      <w:rFonts w:ascii="Cambria Math" w:hAnsi="Cambria Math"/>
                    </w:rPr>
                  </m:ctrlPr>
                </m:sub>
              </m:sSub>
              <m:r>
                <m:rPr>
                  <m:nor/>
                  <m:sty m:val="p"/>
                </m:rPr>
                <m:t>=</m:t>
              </m:r>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m:rPr>
                              <m:nor/>
                            </m:rPr>
                            <w:rPr>
                              <w:i/>
                            </w:rPr>
                            <m:t>l</m:t>
                          </m:r>
                          <m:ctrlPr>
                            <w:rPr>
                              <w:rFonts w:ascii="Cambria Math" w:hAnsi="Cambria Math"/>
                              <w:i/>
                            </w:rPr>
                          </m:ctrlPr>
                        </m:e>
                        <m:sub>
                          <m:r>
                            <m:rPr>
                              <m:nor/>
                              <m:sty m:val="p"/>
                            </m:rPr>
                            <m:t>1</m:t>
                          </m:r>
                          <m:ctrlPr>
                            <w:rPr>
                              <w:rFonts w:ascii="Cambria Math" w:hAnsi="Cambria Math"/>
                              <w:i/>
                            </w:rPr>
                          </m:ctrlPr>
                        </m:sub>
                        <m:sup>
                          <m:r>
                            <m:rPr>
                              <m:nor/>
                              <m:sty m:val="p"/>
                            </m:rPr>
                            <m:t>2</m:t>
                          </m:r>
                          <m:ctrlPr>
                            <w:rPr>
                              <w:rFonts w:ascii="Cambria Math" w:hAnsi="Cambria Math"/>
                              <w:i/>
                            </w:rPr>
                          </m:ctrlPr>
                        </m:sup>
                      </m:sSubSup>
                      <m:r>
                        <m:rPr>
                          <m:nor/>
                          <m:sty m:val="p"/>
                        </m:rPr>
                        <m:t>+</m:t>
                      </m:r>
                      <m:sSubSup>
                        <m:sSubSupPr>
                          <m:ctrlPr>
                            <w:rPr>
                              <w:rFonts w:ascii="Cambria Math" w:hAnsi="Cambria Math"/>
                              <w:i/>
                            </w:rPr>
                          </m:ctrlPr>
                        </m:sSubSupPr>
                        <m:e>
                          <m:r>
                            <m:rPr>
                              <m:nor/>
                            </m:rPr>
                            <w:rPr>
                              <w:i/>
                            </w:rPr>
                            <m:t>l</m:t>
                          </m:r>
                          <m:ctrlPr>
                            <w:rPr>
                              <w:rFonts w:ascii="Cambria Math" w:hAnsi="Cambria Math"/>
                              <w:i/>
                            </w:rPr>
                          </m:ctrlPr>
                        </m:e>
                        <m:sub>
                          <m:r>
                            <m:rPr>
                              <m:nor/>
                              <m:sty m:val="p"/>
                            </m:rPr>
                            <m:t>2</m:t>
                          </m:r>
                          <m:ctrlPr>
                            <w:rPr>
                              <w:rFonts w:ascii="Cambria Math" w:hAnsi="Cambria Math"/>
                              <w:i/>
                            </w:rPr>
                          </m:ctrlPr>
                        </m:sub>
                        <m:sup>
                          <m:r>
                            <m:rPr>
                              <m:nor/>
                              <m:sty m:val="p"/>
                            </m:rPr>
                            <m:t>2</m:t>
                          </m:r>
                          <m:ctrlPr>
                            <w:rPr>
                              <w:rFonts w:ascii="Cambria Math" w:hAnsi="Cambria Math"/>
                              <w:i/>
                            </w:rPr>
                          </m:ctrlPr>
                        </m:sup>
                      </m:sSubSup>
                      <m:r>
                        <m:rPr>
                          <m:nor/>
                          <m:sty m:val="p"/>
                        </m:rPr>
                        <m:t>+</m:t>
                      </m:r>
                      <m:sSubSup>
                        <m:sSubSupPr>
                          <m:ctrlPr>
                            <w:rPr>
                              <w:rFonts w:ascii="Cambria Math" w:hAnsi="Cambria Math"/>
                              <w:i/>
                            </w:rPr>
                          </m:ctrlPr>
                        </m:sSubSupPr>
                        <m:e>
                          <m:r>
                            <m:rPr>
                              <m:nor/>
                            </m:rPr>
                            <w:rPr>
                              <w:i/>
                            </w:rPr>
                            <m:t>l</m:t>
                          </m:r>
                          <m:ctrlPr>
                            <w:rPr>
                              <w:rFonts w:ascii="Cambria Math" w:hAnsi="Cambria Math"/>
                              <w:i/>
                            </w:rPr>
                          </m:ctrlPr>
                        </m:e>
                        <m:sub>
                          <m:r>
                            <m:rPr>
                              <m:nor/>
                              <m:sty m:val="p"/>
                            </m:rPr>
                            <m:t>3</m:t>
                          </m:r>
                          <m:ctrlPr>
                            <w:rPr>
                              <w:rFonts w:ascii="Cambria Math" w:hAnsi="Cambria Math"/>
                              <w:i/>
                            </w:rPr>
                          </m:ctrlPr>
                        </m:sub>
                        <m:sup>
                          <m:r>
                            <m:rPr>
                              <m:nor/>
                              <m:sty m:val="p"/>
                            </m:rPr>
                            <m:t>2</m:t>
                          </m:r>
                          <m:ctrlPr>
                            <w:rPr>
                              <w:rFonts w:ascii="Cambria Math" w:hAnsi="Cambria Math"/>
                              <w:i/>
                            </w:rPr>
                          </m:ctrlPr>
                        </m:sup>
                      </m:sSubSup>
                      <m:ctrlPr>
                        <w:rPr>
                          <w:rFonts w:ascii="Cambria Math" w:hAnsi="Cambria Math"/>
                          <w:i/>
                        </w:rPr>
                      </m:ctrlPr>
                    </m:e>
                  </m:d>
                  <m:ctrlPr>
                    <w:rPr>
                      <w:rFonts w:ascii="Cambria Math" w:hAnsi="Cambria Math"/>
                      <w:i/>
                    </w:rPr>
                  </m:ctrlPr>
                </m:num>
                <m:den>
                  <m:d>
                    <m:dPr>
                      <m:ctrlPr>
                        <w:rPr>
                          <w:rFonts w:ascii="Cambria Math" w:hAnsi="Cambria Math"/>
                          <w:i/>
                        </w:rPr>
                      </m:ctrlPr>
                    </m:dPr>
                    <m:e>
                      <m:r>
                        <m:rPr>
                          <m:nor/>
                          <m:sty m:val="p"/>
                        </m:rPr>
                        <m:t>2</m:t>
                      </m:r>
                      <m:sSub>
                        <m:sSubPr>
                          <m:ctrlPr>
                            <w:rPr>
                              <w:rFonts w:ascii="Cambria Math" w:hAnsi="Cambria Math"/>
                              <w:i/>
                            </w:rPr>
                          </m:ctrlPr>
                        </m:sSubPr>
                        <m:e>
                          <m:r>
                            <m:rPr>
                              <m:nor/>
                            </m:rPr>
                            <w:rPr>
                              <w:i/>
                            </w:rPr>
                            <m:t>l</m:t>
                          </m:r>
                          <m:ctrlPr>
                            <w:rPr>
                              <w:rFonts w:ascii="Cambria Math" w:hAnsi="Cambria Math"/>
                              <w:i/>
                            </w:rPr>
                          </m:ctrlPr>
                        </m:e>
                        <m:sub>
                          <m:r>
                            <m:rPr>
                              <m:nor/>
                              <m:sty m:val="p"/>
                            </m:rPr>
                            <m:t>2</m:t>
                          </m:r>
                          <m:ctrlPr>
                            <w:rPr>
                              <w:rFonts w:ascii="Cambria Math" w:hAnsi="Cambria Math"/>
                              <w:i/>
                            </w:rPr>
                          </m:ctrlPr>
                        </m:sub>
                      </m:sSub>
                      <m:ctrlPr>
                        <w:rPr>
                          <w:rFonts w:ascii="Cambria Math" w:hAnsi="Cambria Math"/>
                          <w:i/>
                        </w:rPr>
                      </m:ctrlPr>
                    </m:e>
                  </m:d>
                  <m:ctrlPr>
                    <w:rPr>
                      <w:rFonts w:ascii="Cambria Math" w:hAnsi="Cambria Math"/>
                      <w:i/>
                    </w:rPr>
                  </m:ctrlPr>
                </m:den>
              </m:f>
            </m:oMath>
            <w:r>
              <w:rPr>
                <w:rFonts w:hint="eastAsia"/>
              </w:rPr>
              <w:t>，</w:t>
            </w:r>
            <m:oMath>
              <m:sSub>
                <m:sSubPr>
                  <m:ctrlPr>
                    <w:rPr>
                      <w:rFonts w:ascii="Cambria Math" w:hAnsi="Cambria Math"/>
                    </w:rPr>
                  </m:ctrlPr>
                </m:sSubPr>
                <m:e>
                  <m:r>
                    <m:rPr>
                      <m:nor/>
                    </m:rPr>
                    <w:rPr>
                      <w:i/>
                    </w:rPr>
                    <m:t>y</m:t>
                  </m:r>
                  <m:ctrlPr>
                    <w:rPr>
                      <w:rFonts w:ascii="Cambria Math" w:hAnsi="Cambria Math"/>
                    </w:rPr>
                  </m:ctrlPr>
                </m:e>
                <m:sub>
                  <m:r>
                    <m:rPr>
                      <m:nor/>
                      <m:sty m:val="p"/>
                    </m:rPr>
                    <m:t>2</m:t>
                  </m:r>
                  <m:ctrlPr>
                    <w:rPr>
                      <w:rFonts w:ascii="Cambria Math" w:hAnsi="Cambria Math"/>
                    </w:rPr>
                  </m:ctrlPr>
                </m:sub>
              </m:sSub>
              <m:r>
                <m:rPr>
                  <m:nor/>
                  <m:sty m:val="p"/>
                </m:rPr>
                <m:t>=</m:t>
              </m:r>
              <m:sSub>
                <m:sSubPr>
                  <m:ctrlPr>
                    <w:rPr>
                      <w:rFonts w:ascii="Cambria Math" w:hAnsi="Cambria Math"/>
                      <w:i/>
                    </w:rPr>
                  </m:ctrlPr>
                </m:sSubPr>
                <m:e>
                  <m:r>
                    <m:rPr>
                      <m:nor/>
                    </m:rPr>
                    <w:rPr>
                      <w:i/>
                    </w:rPr>
                    <m:t>l</m:t>
                  </m:r>
                  <m:ctrlPr>
                    <w:rPr>
                      <w:rFonts w:ascii="Cambria Math" w:hAnsi="Cambria Math"/>
                      <w:i/>
                    </w:rPr>
                  </m:ctrlPr>
                </m:e>
                <m:sub>
                  <m:r>
                    <m:rPr>
                      <m:nor/>
                      <m:sty m:val="p"/>
                    </m:rPr>
                    <m:t>1</m:t>
                  </m:r>
                  <m:ctrlPr>
                    <w:rPr>
                      <w:rFonts w:ascii="Cambria Math" w:hAnsi="Cambria Math"/>
                      <w:i/>
                    </w:rPr>
                  </m:ctrlPr>
                </m:sub>
              </m:sSub>
              <m:rad>
                <m:radPr>
                  <m:degHide m:val="1"/>
                  <m:ctrlPr>
                    <w:rPr>
                      <w:rFonts w:ascii="Cambria Math" w:hAnsi="Cambria Math"/>
                      <w:i/>
                    </w:rPr>
                  </m:ctrlPr>
                </m:radPr>
                <m:deg>
                  <m:ctrlPr>
                    <w:rPr>
                      <w:rFonts w:ascii="Cambria Math" w:hAnsi="Cambria Math"/>
                      <w:i/>
                    </w:rPr>
                  </m:ctrlPr>
                </m:deg>
                <m:e>
                  <m:r>
                    <m:rPr>
                      <m:nor/>
                      <m:sty m:val="p"/>
                    </m:rPr>
                    <m:t>1-</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nor/>
                                    </m:rPr>
                                    <w:rPr>
                                      <w:i/>
                                    </w:rPr>
                                    <m:t>x</m:t>
                                  </m:r>
                                  <m:ctrlPr>
                                    <w:rPr>
                                      <w:rFonts w:ascii="Cambria Math" w:hAnsi="Cambria Math"/>
                                      <w:i/>
                                    </w:rPr>
                                  </m:ctrlPr>
                                </m:e>
                                <m:sub>
                                  <m:r>
                                    <m:rPr>
                                      <m:nor/>
                                      <m:sty m:val="p"/>
                                    </m: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nor/>
                                    </m:rPr>
                                    <w:rPr>
                                      <w:i/>
                                    </w:rPr>
                                    <m:t>l</m:t>
                                  </m:r>
                                  <m:ctrlPr>
                                    <w:rPr>
                                      <w:rFonts w:ascii="Cambria Math" w:hAnsi="Cambria Math"/>
                                      <w:i/>
                                    </w:rPr>
                                  </m:ctrlPr>
                                </m:e>
                                <m:sub>
                                  <m:r>
                                    <m:rPr>
                                      <m:nor/>
                                      <m:sty m:val="p"/>
                                    </m:rPr>
                                    <m:t>1</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m:nor/>
                          <m:sty m:val="p"/>
                        </m:rPr>
                        <m:t>2</m:t>
                      </m:r>
                      <m:ctrlPr>
                        <w:rPr>
                          <w:rFonts w:ascii="Cambria Math" w:hAnsi="Cambria Math"/>
                          <w:i/>
                        </w:rPr>
                      </m:ctrlPr>
                    </m:sup>
                  </m:sSup>
                  <m:ctrlPr>
                    <w:rPr>
                      <w:rFonts w:ascii="Cambria Math" w:hAnsi="Cambria Math"/>
                      <w:i/>
                    </w:rPr>
                  </m:ctrlPr>
                </m:e>
              </m:rad>
            </m:oMath>
          </w:p>
        </w:tc>
        <w:tc>
          <w:tcPr>
            <w:tcW w:w="1431" w:type="dxa"/>
            <w:shd w:val="clear" w:color="auto" w:fill="auto"/>
            <w:vAlign w:val="center"/>
          </w:tcPr>
          <w:p>
            <w:pPr>
              <w:jc w:val="right"/>
            </w:pPr>
            <w:r>
              <w:rPr>
                <w:rFonts w:hint="eastAsia"/>
              </w:rPr>
              <w:t>（C.0.</w:t>
            </w:r>
            <w:r>
              <w:t>3</w:t>
            </w:r>
            <w:r>
              <w:rPr>
                <w:rFonts w:hint="eastAsia"/>
              </w:rPr>
              <w:t>-</w:t>
            </w:r>
            <w:r>
              <w:t>2</w:t>
            </w:r>
            <w:r>
              <w:rPr>
                <w:rFonts w:hint="eastAsia"/>
              </w:rPr>
              <w:t>）</w:t>
            </w:r>
          </w:p>
        </w:tc>
      </w:tr>
      <w:tr>
        <w:tblPrEx>
          <w:tblLayout w:type="fixed"/>
          <w:tblCellMar>
            <w:top w:w="0" w:type="dxa"/>
            <w:left w:w="108" w:type="dxa"/>
            <w:bottom w:w="0" w:type="dxa"/>
            <w:right w:w="108" w:type="dxa"/>
          </w:tblCellMar>
        </w:tblPrEx>
        <w:tc>
          <w:tcPr>
            <w:tcW w:w="231" w:type="dxa"/>
            <w:shd w:val="clear" w:color="auto" w:fill="auto"/>
            <w:vAlign w:val="center"/>
          </w:tcPr>
          <w:p>
            <w:pPr>
              <w:jc w:val="center"/>
            </w:pPr>
          </w:p>
        </w:tc>
        <w:tc>
          <w:tcPr>
            <w:tcW w:w="4474" w:type="dxa"/>
            <w:shd w:val="clear" w:color="auto" w:fill="auto"/>
            <w:vAlign w:val="center"/>
          </w:tcPr>
          <w:p>
            <w:pPr>
              <w:jc w:val="center"/>
            </w:pPr>
            <w:r>
              <w:rPr>
                <w:i/>
              </w:rPr>
              <w:t>x</w:t>
            </w:r>
            <w:r>
              <w:rPr>
                <w:vertAlign w:val="subscript"/>
              </w:rPr>
              <w:t>3</w:t>
            </w:r>
            <w:r>
              <w:t>=</w:t>
            </w:r>
            <w:r>
              <w:rPr>
                <w:i/>
              </w:rPr>
              <w:t>l</w:t>
            </w:r>
            <w:r>
              <w:rPr>
                <w:vertAlign w:val="subscript"/>
              </w:rPr>
              <w:t>2</w:t>
            </w:r>
            <w:r>
              <w:rPr>
                <w:rFonts w:hint="eastAsia"/>
              </w:rPr>
              <w:t>，</w:t>
            </w:r>
            <w:r>
              <w:rPr>
                <w:rFonts w:hint="eastAsia"/>
                <w:i/>
              </w:rPr>
              <w:t>y</w:t>
            </w:r>
            <w:r>
              <w:rPr>
                <w:vertAlign w:val="subscript"/>
              </w:rPr>
              <w:t>3</w:t>
            </w:r>
            <w:r>
              <w:t>=0</w:t>
            </w:r>
          </w:p>
        </w:tc>
        <w:tc>
          <w:tcPr>
            <w:tcW w:w="1431" w:type="dxa"/>
            <w:shd w:val="clear" w:color="auto" w:fill="auto"/>
            <w:vAlign w:val="center"/>
          </w:tcPr>
          <w:p>
            <w:pPr>
              <w:jc w:val="right"/>
            </w:pPr>
            <w:r>
              <w:rPr>
                <w:rFonts w:hint="eastAsia"/>
              </w:rPr>
              <w:t>（C.0.</w:t>
            </w:r>
            <w:r>
              <w:t>3</w:t>
            </w:r>
            <w:r>
              <w:rPr>
                <w:rFonts w:hint="eastAsia"/>
              </w:rPr>
              <w:t>-</w:t>
            </w:r>
            <w:r>
              <w:t>3</w:t>
            </w:r>
            <w:r>
              <w:rPr>
                <w:rFonts w:hint="eastAsia"/>
              </w:rPr>
              <w:t>）</w:t>
            </w:r>
          </w:p>
        </w:tc>
      </w:tr>
      <w:tr>
        <w:tblPrEx>
          <w:tblLayout w:type="fixed"/>
          <w:tblCellMar>
            <w:top w:w="0" w:type="dxa"/>
            <w:left w:w="108" w:type="dxa"/>
            <w:bottom w:w="0" w:type="dxa"/>
            <w:right w:w="108" w:type="dxa"/>
          </w:tblCellMar>
        </w:tblPrEx>
        <w:trPr>
          <w:trHeight w:val="567" w:hRule="atLeast"/>
        </w:trPr>
        <w:tc>
          <w:tcPr>
            <w:tcW w:w="231" w:type="dxa"/>
            <w:shd w:val="clear" w:color="auto" w:fill="auto"/>
            <w:vAlign w:val="center"/>
          </w:tcPr>
          <w:p>
            <w:pPr>
              <w:jc w:val="center"/>
            </w:pPr>
          </w:p>
        </w:tc>
        <w:tc>
          <w:tcPr>
            <w:tcW w:w="4474" w:type="dxa"/>
            <w:shd w:val="clear" w:color="auto" w:fill="auto"/>
            <w:vAlign w:val="center"/>
          </w:tcPr>
          <w:p>
            <w:pPr>
              <w:spacing w:line="420" w:lineRule="exact"/>
              <w:jc w:val="center"/>
            </w:pPr>
            <w:r>
              <w:rPr>
                <w:i/>
              </w:rPr>
              <w:t>x</w:t>
            </w:r>
            <w:r>
              <w:rPr>
                <w:i/>
                <w:vertAlign w:val="subscript"/>
              </w:rPr>
              <w:t>i</w:t>
            </w:r>
            <w:r>
              <w:t>=</w:t>
            </w:r>
            <w:r>
              <w:rPr>
                <w:rFonts w:hint="eastAsia"/>
                <w:i/>
              </w:rPr>
              <w:t>l</w:t>
            </w:r>
            <w:r>
              <w:rPr>
                <w:vertAlign w:val="subscript"/>
              </w:rPr>
              <w:t>2(</w:t>
            </w:r>
            <w:r>
              <w:rPr>
                <w:rFonts w:hint="eastAsia"/>
                <w:i/>
                <w:vertAlign w:val="subscript"/>
              </w:rPr>
              <w:t>i</w:t>
            </w:r>
            <w:r>
              <w:rPr>
                <w:rFonts w:hint="eastAsia"/>
                <w:vertAlign w:val="subscript"/>
              </w:rPr>
              <w:t>-2</w:t>
            </w:r>
            <w:r>
              <w:rPr>
                <w:vertAlign w:val="subscript"/>
              </w:rPr>
              <w:t>)</w:t>
            </w:r>
            <w:r>
              <w:t>+</w:t>
            </w:r>
            <w:r>
              <w:rPr>
                <w:i/>
              </w:rPr>
              <w:t>x</w:t>
            </w:r>
            <w:r>
              <w:rPr>
                <w:rFonts w:hint="eastAsia"/>
                <w:i/>
                <w:vertAlign w:val="subscript"/>
              </w:rPr>
              <w:t>i</w:t>
            </w:r>
            <w:r>
              <w:rPr>
                <w:rFonts w:hint="eastAsia"/>
                <w:vertAlign w:val="subscript"/>
              </w:rPr>
              <w:t>-2</w:t>
            </w:r>
            <w:r>
              <w:rPr>
                <w:rFonts w:hint="eastAsia"/>
              </w:rPr>
              <w:t>，</w:t>
            </w:r>
            <m:oMath>
              <m:sSub>
                <m:sSubPr>
                  <m:ctrlPr>
                    <w:rPr>
                      <w:rFonts w:ascii="Cambria Math" w:hAnsi="Cambria Math"/>
                      <w:i/>
                    </w:rPr>
                  </m:ctrlPr>
                </m:sSubPr>
                <m:e>
                  <m:r>
                    <m:rPr>
                      <m:nor/>
                    </m:rPr>
                    <w:rPr>
                      <w:i/>
                    </w:rPr>
                    <m:t>y</m:t>
                  </m:r>
                  <m:ctrlPr>
                    <w:rPr>
                      <w:rFonts w:ascii="Cambria Math" w:hAnsi="Cambria Math"/>
                      <w:i/>
                    </w:rPr>
                  </m:ctrlPr>
                </m:e>
                <m:sub>
                  <m:r>
                    <m:rPr>
                      <m:nor/>
                    </m:rPr>
                    <w:rPr>
                      <w:i/>
                    </w:rPr>
                    <m:t>i</m:t>
                  </m:r>
                  <m:ctrlPr>
                    <w:rPr>
                      <w:rFonts w:ascii="Cambria Math" w:hAnsi="Cambria Math"/>
                      <w:i/>
                    </w:rPr>
                  </m:ctrlPr>
                </m:sub>
              </m:sSub>
              <m:r>
                <m:rPr>
                  <m:nor/>
                  <m:sty m:val="p"/>
                </m:rPr>
                <m:t>=</m:t>
              </m:r>
              <m:sSub>
                <m:sSubPr>
                  <m:ctrlPr>
                    <w:rPr>
                      <w:rFonts w:ascii="Cambria Math" w:hAnsi="Cambria Math"/>
                      <w:i/>
                    </w:rPr>
                  </m:ctrlPr>
                </m:sSubPr>
                <m:e>
                  <m:r>
                    <m:rPr>
                      <m:nor/>
                    </m:rPr>
                    <w:rPr>
                      <w:i/>
                    </w:rPr>
                    <m:t>y</m:t>
                  </m:r>
                  <m:ctrlPr>
                    <w:rPr>
                      <w:rFonts w:ascii="Cambria Math" w:hAnsi="Cambria Math"/>
                      <w:i/>
                    </w:rPr>
                  </m:ctrlPr>
                </m:e>
                <m:sub>
                  <m:r>
                    <m:rPr>
                      <m:nor/>
                    </m:rPr>
                    <w:rPr>
                      <w:i/>
                    </w:rPr>
                    <m:t>i</m:t>
                  </m:r>
                  <m:r>
                    <m:rPr>
                      <m:nor/>
                      <m:sty m:val="p"/>
                    </m:rPr>
                    <m:t>-1</m:t>
                  </m:r>
                  <m:ctrlPr>
                    <w:rPr>
                      <w:rFonts w:ascii="Cambria Math" w:hAnsi="Cambria Math"/>
                      <w:i/>
                    </w:rPr>
                  </m:ctrlPr>
                </m:sub>
              </m:sSub>
              <m:r>
                <m:rPr>
                  <m:nor/>
                  <m:sty m:val="p"/>
                </m:rPr>
                <m:t>+</m:t>
              </m:r>
              <m:rad>
                <m:radPr>
                  <m:degHide m:val="1"/>
                  <m:ctrlPr>
                    <w:rPr>
                      <w:rFonts w:ascii="Cambria Math" w:hAnsi="Cambria Math"/>
                      <w:i/>
                    </w:rPr>
                  </m:ctrlPr>
                </m:radPr>
                <m:deg>
                  <m:ctrlPr>
                    <w:rPr>
                      <w:rFonts w:ascii="Cambria Math" w:hAnsi="Cambria Math"/>
                      <w:i/>
                    </w:rPr>
                  </m:ctrlPr>
                </m:deg>
                <m:e>
                  <m:sSubSup>
                    <m:sSubSupPr>
                      <m:ctrlPr>
                        <w:rPr>
                          <w:rFonts w:ascii="Cambria Math" w:hAnsi="Cambria Math"/>
                          <w:i/>
                        </w:rPr>
                      </m:ctrlPr>
                    </m:sSubSupPr>
                    <m:e>
                      <m:r>
                        <m:rPr>
                          <m:nor/>
                        </m:rPr>
                        <w:rPr>
                          <w:i/>
                        </w:rPr>
                        <m:t>l</m:t>
                      </m:r>
                      <m:ctrlPr>
                        <w:rPr>
                          <w:rFonts w:ascii="Cambria Math" w:hAnsi="Cambria Math"/>
                          <w:i/>
                        </w:rPr>
                      </m:ctrlPr>
                    </m:e>
                    <m:sub>
                      <m:r>
                        <m:rPr>
                          <m:nor/>
                          <m:sty m:val="p"/>
                        </m:rPr>
                        <m:t>2</m:t>
                      </m:r>
                      <m:r>
                        <m:rPr>
                          <m:nor/>
                        </m:rPr>
                        <w:rPr>
                          <w:i/>
                        </w:rPr>
                        <m:t>i</m:t>
                      </m:r>
                      <m:r>
                        <m:rPr>
                          <m:nor/>
                          <m:sty m:val="p"/>
                        </m:rPr>
                        <m:t>-3</m:t>
                      </m:r>
                      <m:ctrlPr>
                        <w:rPr>
                          <w:rFonts w:ascii="Cambria Math" w:hAnsi="Cambria Math"/>
                          <w:i/>
                        </w:rPr>
                      </m:ctrlPr>
                    </m:sub>
                    <m:sup>
                      <m:r>
                        <m:rPr>
                          <m:nor/>
                          <m:sty m:val="p"/>
                        </m:rPr>
                        <m:t>2</m:t>
                      </m:r>
                      <m:ctrlPr>
                        <w:rPr>
                          <w:rFonts w:ascii="Cambria Math" w:hAnsi="Cambria Math"/>
                          <w:i/>
                        </w:rPr>
                      </m:ctrlPr>
                    </m:sup>
                  </m:sSubSup>
                  <m:r>
                    <m:rPr>
                      <m:nor/>
                      <m:sty m:val="p"/>
                    </m: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nor/>
                                </m:rPr>
                                <w:rPr>
                                  <w:i/>
                                </w:rPr>
                                <m:t>l</m:t>
                              </m:r>
                              <m:ctrlPr>
                                <w:rPr>
                                  <w:rFonts w:ascii="Cambria Math" w:hAnsi="Cambria Math"/>
                                  <w:i/>
                                </w:rPr>
                              </m:ctrlPr>
                            </m:e>
                            <m:sub>
                              <m:r>
                                <m:rPr>
                                  <m:nor/>
                                  <m:sty m:val="p"/>
                                </m:rPr>
                                <m:t>2</m:t>
                              </m:r>
                              <m:r>
                                <m:rPr>
                                  <m:nor/>
                                </m:rPr>
                                <w:rPr>
                                  <w:i/>
                                </w:rPr>
                                <m:t>i</m:t>
                              </m:r>
                              <m:r>
                                <m:rPr>
                                  <m:nor/>
                                  <m:sty m:val="p"/>
                                </m:rPr>
                                <m:t>-4</m:t>
                              </m:r>
                              <m:ctrlPr>
                                <w:rPr>
                                  <w:rFonts w:ascii="Cambria Math" w:hAnsi="Cambria Math"/>
                                  <w:i/>
                                </w:rPr>
                              </m:ctrlPr>
                            </m:sub>
                          </m:sSub>
                          <m:r>
                            <m:rPr>
                              <m:nor/>
                              <m:sty m:val="p"/>
                            </m:rPr>
                            <m:t>+</m:t>
                          </m:r>
                          <m:sSub>
                            <m:sSubPr>
                              <m:ctrlPr>
                                <w:rPr>
                                  <w:rFonts w:ascii="Cambria Math" w:hAnsi="Cambria Math"/>
                                  <w:i/>
                                </w:rPr>
                              </m:ctrlPr>
                            </m:sSubPr>
                            <m:e>
                              <m:r>
                                <m:rPr>
                                  <m:nor/>
                                </m:rPr>
                                <w:rPr>
                                  <w:i/>
                                </w:rPr>
                                <m:t>x</m:t>
                              </m:r>
                              <m:ctrlPr>
                                <w:rPr>
                                  <w:rFonts w:ascii="Cambria Math" w:hAnsi="Cambria Math"/>
                                  <w:i/>
                                </w:rPr>
                              </m:ctrlPr>
                            </m:e>
                            <m:sub>
                              <m:r>
                                <m:rPr>
                                  <m:nor/>
                                </m:rPr>
                                <w:rPr>
                                  <w:i/>
                                </w:rPr>
                                <m:t>i</m:t>
                              </m:r>
                              <m:r>
                                <m:rPr>
                                  <m:nor/>
                                  <m:sty m:val="p"/>
                                </m:rPr>
                                <m:t>-2</m:t>
                              </m:r>
                              <m:ctrlPr>
                                <w:rPr>
                                  <w:rFonts w:ascii="Cambria Math" w:hAnsi="Cambria Math"/>
                                  <w:i/>
                                </w:rPr>
                              </m:ctrlPr>
                            </m:sub>
                          </m:sSub>
                          <m:r>
                            <m:rPr>
                              <m:nor/>
                              <m:sty m:val="p"/>
                            </m:rPr>
                            <m:t>-</m:t>
                          </m:r>
                          <m:sSub>
                            <m:sSubPr>
                              <m:ctrlPr>
                                <w:rPr>
                                  <w:rFonts w:ascii="Cambria Math" w:hAnsi="Cambria Math"/>
                                  <w:i/>
                                </w:rPr>
                              </m:ctrlPr>
                            </m:sSubPr>
                            <m:e>
                              <m:r>
                                <m:rPr>
                                  <m:nor/>
                                </m:rPr>
                                <w:rPr>
                                  <w:i/>
                                </w:rPr>
                                <m:t>x</m:t>
                              </m:r>
                              <m:ctrlPr>
                                <w:rPr>
                                  <w:rFonts w:ascii="Cambria Math" w:hAnsi="Cambria Math"/>
                                  <w:i/>
                                </w:rPr>
                              </m:ctrlPr>
                            </m:e>
                            <m:sub>
                              <m:r>
                                <m:rPr>
                                  <m:nor/>
                                </m:rPr>
                                <w:rPr>
                                  <w:i/>
                                </w:rPr>
                                <m:t>i</m:t>
                              </m:r>
                              <m:r>
                                <m:rPr>
                                  <m:nor/>
                                  <m:sty m:val="p"/>
                                </m:rPr>
                                <m:t>-1</m:t>
                              </m:r>
                              <m:ctrlPr>
                                <w:rPr>
                                  <w:rFonts w:ascii="Cambria Math" w:hAnsi="Cambria Math"/>
                                  <w:i/>
                                </w:rPr>
                              </m:ctrlPr>
                            </m:sub>
                          </m:sSub>
                          <m:ctrlPr>
                            <w:rPr>
                              <w:rFonts w:ascii="Cambria Math" w:hAnsi="Cambria Math"/>
                              <w:i/>
                            </w:rPr>
                          </m:ctrlPr>
                        </m:e>
                      </m:d>
                      <m:ctrlPr>
                        <w:rPr>
                          <w:rFonts w:ascii="Cambria Math" w:hAnsi="Cambria Math"/>
                          <w:i/>
                        </w:rPr>
                      </m:ctrlPr>
                    </m:e>
                    <m:sup>
                      <m:r>
                        <m:rPr>
                          <m:nor/>
                          <m:sty m:val="p"/>
                        </m:rPr>
                        <m:t>2</m:t>
                      </m:r>
                      <m:ctrlPr>
                        <w:rPr>
                          <w:rFonts w:ascii="Cambria Math" w:hAnsi="Cambria Math"/>
                          <w:i/>
                        </w:rPr>
                      </m:ctrlPr>
                    </m:sup>
                  </m:sSup>
                  <m:ctrlPr>
                    <w:rPr>
                      <w:rFonts w:ascii="Cambria Math" w:hAnsi="Cambria Math"/>
                      <w:i/>
                    </w:rPr>
                  </m:ctrlPr>
                </m:e>
              </m:rad>
            </m:oMath>
          </w:p>
        </w:tc>
        <w:tc>
          <w:tcPr>
            <w:tcW w:w="1431" w:type="dxa"/>
            <w:shd w:val="clear" w:color="auto" w:fill="auto"/>
            <w:vAlign w:val="center"/>
          </w:tcPr>
          <w:p>
            <w:pPr>
              <w:spacing w:line="420" w:lineRule="exact"/>
              <w:jc w:val="right"/>
            </w:pPr>
            <w:r>
              <w:rPr>
                <w:rFonts w:hint="eastAsia"/>
              </w:rPr>
              <w:t>（C.0.</w:t>
            </w:r>
            <w:r>
              <w:t>3</w:t>
            </w:r>
            <w:r>
              <w:rPr>
                <w:rFonts w:hint="eastAsia"/>
              </w:rPr>
              <w:t>-</w:t>
            </w:r>
            <w:r>
              <w:t>4</w:t>
            </w:r>
            <w:r>
              <w:rPr>
                <w:rFonts w:hint="eastAsia"/>
              </w:rPr>
              <w:t>）</w:t>
            </w:r>
          </w:p>
        </w:tc>
      </w:tr>
    </w:tbl>
    <w:p>
      <w:r>
        <w:rPr>
          <w:rFonts w:hint="eastAsia"/>
        </w:rPr>
        <w:t>式中：</w:t>
      </w:r>
      <w:r>
        <w:rPr>
          <w:rFonts w:hint="eastAsia"/>
          <w:i/>
        </w:rPr>
        <w:t>x</w:t>
      </w:r>
      <w:r>
        <w:rPr>
          <w:rFonts w:hint="eastAsia"/>
          <w:i/>
          <w:vertAlign w:val="subscript"/>
        </w:rPr>
        <w:t>i</w:t>
      </w:r>
      <w:r>
        <w:rPr>
          <w:rFonts w:hint="eastAsia"/>
        </w:rPr>
        <w:t>、</w:t>
      </w:r>
      <w:r>
        <w:rPr>
          <w:i/>
        </w:rPr>
        <w:t>y</w:t>
      </w:r>
      <w:r>
        <w:rPr>
          <w:rFonts w:hint="eastAsia"/>
          <w:i/>
          <w:vertAlign w:val="subscript"/>
        </w:rPr>
        <w:t>i</w:t>
      </w:r>
      <w:r>
        <w:rPr>
          <w:rFonts w:hint="eastAsia"/>
        </w:rPr>
        <w:t>——对应图C.0.3中点T</w:t>
      </w:r>
      <w:r>
        <w:rPr>
          <w:rFonts w:hint="eastAsia"/>
          <w:i/>
          <w:vertAlign w:val="subscript"/>
        </w:rPr>
        <w:t>i</w:t>
      </w:r>
      <w:r>
        <w:rPr>
          <w:rFonts w:hint="eastAsia"/>
        </w:rPr>
        <w:t>、G</w:t>
      </w:r>
      <w:r>
        <w:rPr>
          <w:rFonts w:hint="eastAsia"/>
          <w:i/>
          <w:vertAlign w:val="subscript"/>
        </w:rPr>
        <w:t>i</w:t>
      </w:r>
      <w:r>
        <w:rPr>
          <w:rFonts w:hint="eastAsia"/>
        </w:rPr>
        <w:t>横坐标、纵坐标。</w:t>
      </w:r>
    </w:p>
    <w:p>
      <w:pPr>
        <w:ind w:firstLine="987" w:firstLineChars="470"/>
      </w:pPr>
      <w:r>
        <w:rPr>
          <w:rFonts w:hint="eastAsia"/>
          <w:i/>
        </w:rPr>
        <w:t>l</w:t>
      </w:r>
      <w:r>
        <w:rPr>
          <w:rFonts w:hint="eastAsia"/>
          <w:i/>
          <w:vertAlign w:val="subscript"/>
        </w:rPr>
        <w:t>i</w:t>
      </w:r>
      <w:r>
        <w:rPr>
          <w:rFonts w:hint="eastAsia"/>
        </w:rPr>
        <w:t>——对应图C.0.3中</w:t>
      </w:r>
      <w:r>
        <w:rPr>
          <w:rFonts w:hint="eastAsia"/>
          <w:i/>
        </w:rPr>
        <w:t>a</w:t>
      </w:r>
      <w:r>
        <w:rPr>
          <w:i/>
          <w:vertAlign w:val="subscript"/>
        </w:rPr>
        <w:t>i</w:t>
      </w:r>
      <w:r>
        <w:rPr>
          <w:rFonts w:hint="eastAsia"/>
        </w:rPr>
        <w:t>、</w:t>
      </w:r>
      <w:r>
        <w:rPr>
          <w:i/>
        </w:rPr>
        <w:t>b</w:t>
      </w:r>
      <w:r>
        <w:rPr>
          <w:i/>
          <w:vertAlign w:val="subscript"/>
        </w:rPr>
        <w:t>i</w:t>
      </w:r>
      <w:r>
        <w:rPr>
          <w:rFonts w:hint="eastAsia"/>
        </w:rPr>
        <w:t>。</w:t>
      </w:r>
    </w:p>
    <w:p>
      <w:pPr>
        <w:ind w:firstLine="422" w:firstLineChars="200"/>
      </w:pPr>
      <w:r>
        <w:rPr>
          <w:rFonts w:hint="eastAsia"/>
          <w:b/>
        </w:rPr>
        <w:t>3</w:t>
      </w:r>
      <w:r>
        <w:rPr>
          <w:b/>
        </w:rPr>
        <w:t xml:space="preserve">  </w:t>
      </w:r>
      <w:bookmarkStart w:id="317" w:name="_Hlk7003447"/>
      <w:r>
        <w:rPr>
          <w:rFonts w:hint="eastAsia"/>
        </w:rPr>
        <w:t>灌浆套筒与连接钢筋中心线位置偏差</w:t>
      </w:r>
      <w:bookmarkEnd w:id="317"/>
      <w:r>
        <w:rPr>
          <w:rFonts w:hint="eastAsia"/>
        </w:rPr>
        <w:t>按下列公式计算：</w:t>
      </w:r>
    </w:p>
    <w:tbl>
      <w:tblPr>
        <w:tblStyle w:val="27"/>
        <w:tblW w:w="6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4"/>
        <w:gridCol w:w="2669"/>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34" w:type="dxa"/>
            <w:vAlign w:val="center"/>
          </w:tcPr>
          <w:p>
            <w:pPr>
              <w:jc w:val="center"/>
            </w:pPr>
          </w:p>
        </w:tc>
        <w:tc>
          <w:tcPr>
            <w:tcW w:w="2669" w:type="dxa"/>
            <w:vAlign w:val="center"/>
          </w:tcPr>
          <w:p>
            <w:pPr>
              <w:jc w:val="center"/>
            </w:pPr>
            <m:oMathPara>
              <m:oMath>
                <m:sSub>
                  <m:sSubPr>
                    <m:ctrlPr>
                      <w:rPr>
                        <w:rFonts w:ascii="Cambria Math" w:hAnsi="Cambria Math"/>
                      </w:rPr>
                    </m:ctrlPr>
                  </m:sSubPr>
                  <m:e>
                    <m:r>
                      <m:rPr>
                        <m:nor/>
                      </m:rPr>
                      <w:rPr>
                        <w:i/>
                      </w:rPr>
                      <m:t>l</m:t>
                    </m:r>
                    <m:ctrlPr>
                      <w:rPr>
                        <w:rFonts w:ascii="Cambria Math" w:hAnsi="Cambria Math"/>
                      </w:rPr>
                    </m:ctrlPr>
                  </m:e>
                  <m:sub>
                    <m:r>
                      <m:rPr>
                        <m:nor/>
                        <m:sty m:val="p"/>
                      </m:rPr>
                      <m:t>T-G</m:t>
                    </m:r>
                    <m:ctrlPr>
                      <w:rPr>
                        <w:rFonts w:ascii="Cambria Math" w:hAnsi="Cambria Math"/>
                      </w:rPr>
                    </m:ctrlPr>
                  </m:sub>
                </m:sSub>
                <m:r>
                  <m:rPr>
                    <m:nor/>
                    <m:sty m:val="p"/>
                  </m: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nor/>
                                  </m:rPr>
                                  <w:rPr>
                                    <w:i/>
                                  </w:rPr>
                                  <m:t>x</m:t>
                                </m:r>
                                <m:ctrlPr>
                                  <w:rPr>
                                    <w:rFonts w:ascii="Cambria Math" w:hAnsi="Cambria Math"/>
                                    <w:i/>
                                  </w:rPr>
                                </m:ctrlPr>
                              </m:e>
                              <m:sub>
                                <m:sSub>
                                  <m:sSubPr>
                                    <m:ctrlPr>
                                      <w:rPr>
                                        <w:rFonts w:ascii="Cambria Math" w:hAnsi="Cambria Math"/>
                                        <w:i/>
                                      </w:rPr>
                                    </m:ctrlPr>
                                  </m:sSubPr>
                                  <m:e>
                                    <m:r>
                                      <m:rPr>
                                        <m:nor/>
                                        <m:sty m:val="p"/>
                                      </m:rPr>
                                      <m:t>T</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r>
                              <m:rPr>
                                <m:nor/>
                                <m:sty m:val="p"/>
                              </m:rPr>
                              <m:t>-</m:t>
                            </m:r>
                            <m:sSub>
                              <m:sSubPr>
                                <m:ctrlPr>
                                  <w:rPr>
                                    <w:rFonts w:ascii="Cambria Math" w:hAnsi="Cambria Math"/>
                                    <w:i/>
                                  </w:rPr>
                                </m:ctrlPr>
                              </m:sSubPr>
                              <m:e>
                                <m:r>
                                  <m:rPr>
                                    <m:nor/>
                                  </m:rPr>
                                  <w:rPr>
                                    <w:i/>
                                  </w:rPr>
                                  <m:t>y</m:t>
                                </m:r>
                                <m:ctrlPr>
                                  <w:rPr>
                                    <w:rFonts w:ascii="Cambria Math" w:hAnsi="Cambria Math"/>
                                    <w:i/>
                                  </w:rPr>
                                </m:ctrlPr>
                              </m:e>
                              <m:sub>
                                <m:sSub>
                                  <m:sSubPr>
                                    <m:ctrlPr>
                                      <w:rPr>
                                        <w:rFonts w:ascii="Cambria Math" w:hAnsi="Cambria Math"/>
                                        <w:i/>
                                      </w:rPr>
                                    </m:ctrlPr>
                                  </m:sSubPr>
                                  <m:e>
                                    <m:r>
                                      <m:rPr>
                                        <m:nor/>
                                        <m:sty m:val="p"/>
                                      </m:rPr>
                                      <m:t>T</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ctrlPr>
                              <w:rPr>
                                <w:rFonts w:ascii="Cambria Math" w:hAnsi="Cambria Math"/>
                                <w:i/>
                              </w:rPr>
                            </m:ctrlPr>
                          </m:e>
                        </m:d>
                        <m:ctrlPr>
                          <w:rPr>
                            <w:rFonts w:ascii="Cambria Math" w:hAnsi="Cambria Math"/>
                            <w:i/>
                          </w:rPr>
                        </m:ctrlPr>
                      </m:e>
                      <m:sup>
                        <m:r>
                          <m:rPr>
                            <m:nor/>
                            <m:sty m:val="p"/>
                          </m:rPr>
                          <m:t>2</m:t>
                        </m:r>
                        <m:ctrlPr>
                          <w:rPr>
                            <w:rFonts w:ascii="Cambria Math" w:hAnsi="Cambria Math"/>
                            <w:i/>
                          </w:rPr>
                        </m:ctrlPr>
                      </m:sup>
                    </m:sSup>
                    <m:r>
                      <m:rPr>
                        <m:nor/>
                        <m:sty m:val="p"/>
                      </m: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nor/>
                                  </m:rPr>
                                  <w:rPr>
                                    <w:i/>
                                  </w:rPr>
                                  <m:t>x</m:t>
                                </m:r>
                                <m:ctrlPr>
                                  <w:rPr>
                                    <w:rFonts w:ascii="Cambria Math" w:hAnsi="Cambria Math"/>
                                    <w:i/>
                                  </w:rPr>
                                </m:ctrlPr>
                              </m:e>
                              <m:sub>
                                <m:sSub>
                                  <m:sSubPr>
                                    <m:ctrlPr>
                                      <w:rPr>
                                        <w:rFonts w:ascii="Cambria Math" w:hAnsi="Cambria Math"/>
                                        <w:i/>
                                      </w:rPr>
                                    </m:ctrlPr>
                                  </m:sSubPr>
                                  <m:e>
                                    <m:r>
                                      <m:rPr>
                                        <m:nor/>
                                        <m:sty m:val="p"/>
                                      </m:rPr>
                                      <m:t>G</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r>
                              <m:rPr>
                                <m:nor/>
                                <m:sty m:val="p"/>
                              </m:rPr>
                              <m:t>-</m:t>
                            </m:r>
                            <m:sSub>
                              <m:sSubPr>
                                <m:ctrlPr>
                                  <w:rPr>
                                    <w:rFonts w:ascii="Cambria Math" w:hAnsi="Cambria Math"/>
                                    <w:i/>
                                  </w:rPr>
                                </m:ctrlPr>
                              </m:sSubPr>
                              <m:e>
                                <m:r>
                                  <m:rPr>
                                    <m:nor/>
                                  </m:rPr>
                                  <w:rPr>
                                    <w:i/>
                                  </w:rPr>
                                  <m:t>y</m:t>
                                </m:r>
                                <m:ctrlPr>
                                  <w:rPr>
                                    <w:rFonts w:ascii="Cambria Math" w:hAnsi="Cambria Math"/>
                                    <w:i/>
                                  </w:rPr>
                                </m:ctrlPr>
                              </m:e>
                              <m:sub>
                                <m:sSub>
                                  <m:sSubPr>
                                    <m:ctrlPr>
                                      <w:rPr>
                                        <w:rFonts w:ascii="Cambria Math" w:hAnsi="Cambria Math"/>
                                        <w:i/>
                                      </w:rPr>
                                    </m:ctrlPr>
                                  </m:sSubPr>
                                  <m:e>
                                    <m:r>
                                      <m:rPr>
                                        <m:nor/>
                                        <m:sty m:val="p"/>
                                      </m:rPr>
                                      <m:t>G</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ctrlPr>
                              <w:rPr>
                                <w:rFonts w:ascii="Cambria Math" w:hAnsi="Cambria Math"/>
                                <w:i/>
                              </w:rPr>
                            </m:ctrlPr>
                          </m:e>
                        </m:d>
                        <m:ctrlPr>
                          <w:rPr>
                            <w:rFonts w:ascii="Cambria Math" w:hAnsi="Cambria Math"/>
                            <w:i/>
                          </w:rPr>
                        </m:ctrlPr>
                      </m:e>
                      <m:sup>
                        <m:r>
                          <m:rPr>
                            <m:nor/>
                            <m:sty m:val="p"/>
                          </m:rPr>
                          <m:t>2</m:t>
                        </m:r>
                        <m:ctrlPr>
                          <w:rPr>
                            <w:rFonts w:ascii="Cambria Math" w:hAnsi="Cambria Math"/>
                            <w:i/>
                          </w:rPr>
                        </m:ctrlPr>
                      </m:sup>
                    </m:sSup>
                    <m:ctrlPr>
                      <w:rPr>
                        <w:rFonts w:ascii="Cambria Math" w:hAnsi="Cambria Math"/>
                        <w:i/>
                      </w:rPr>
                    </m:ctrlPr>
                  </m:e>
                </m:rad>
              </m:oMath>
            </m:oMathPara>
          </w:p>
        </w:tc>
        <w:tc>
          <w:tcPr>
            <w:tcW w:w="1733" w:type="dxa"/>
            <w:vAlign w:val="center"/>
          </w:tcPr>
          <w:p>
            <w:pPr>
              <w:jc w:val="right"/>
            </w:pPr>
            <w:r>
              <w:rPr>
                <w:rFonts w:hint="eastAsia"/>
              </w:rPr>
              <w:t>（C.0.3-</w:t>
            </w:r>
            <w:r>
              <w:t>5</w:t>
            </w:r>
            <w:r>
              <w:rPr>
                <w:rFonts w:hint="eastAsia"/>
              </w:rPr>
              <w:t>）</w:t>
            </w:r>
          </w:p>
        </w:tc>
      </w:tr>
    </w:tbl>
    <w:p>
      <w:pPr>
        <w:spacing w:line="420" w:lineRule="exact"/>
      </w:pPr>
      <w:r>
        <w:rPr>
          <w:rFonts w:hint="eastAsia"/>
        </w:rPr>
        <w:t>式中：</w:t>
      </w:r>
      <m:oMath>
        <m:sSub>
          <m:sSubPr>
            <m:ctrlPr>
              <w:rPr>
                <w:rFonts w:ascii="Cambria Math" w:hAnsi="Cambria Math"/>
                <w:i/>
              </w:rPr>
            </m:ctrlPr>
          </m:sSubPr>
          <m:e>
            <m:r>
              <m:rPr>
                <m:nor/>
              </m:rPr>
              <w:rPr>
                <w:i/>
              </w:rPr>
              <m:t>x</m:t>
            </m:r>
            <m:ctrlPr>
              <w:rPr>
                <w:rFonts w:ascii="Cambria Math" w:hAnsi="Cambria Math"/>
                <w:i/>
              </w:rPr>
            </m:ctrlPr>
          </m:e>
          <m:sub>
            <m:sSub>
              <m:sSubPr>
                <m:ctrlPr>
                  <w:rPr>
                    <w:rFonts w:ascii="Cambria Math" w:hAnsi="Cambria Math"/>
                    <w:i/>
                  </w:rPr>
                </m:ctrlPr>
              </m:sSubPr>
              <m:e>
                <m:r>
                  <m:rPr>
                    <m:nor/>
                    <m:sty m:val="p"/>
                  </m:rPr>
                  <m:t>T</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oMath>
      <w:r>
        <w:rPr>
          <w:rFonts w:hint="eastAsia"/>
          <w:szCs w:val="21"/>
        </w:rPr>
        <w:t>、</w:t>
      </w:r>
      <m:oMath>
        <m:sSub>
          <m:sSubPr>
            <m:ctrlPr>
              <w:rPr>
                <w:rFonts w:ascii="Cambria Math" w:hAnsi="Cambria Math"/>
                <w:i/>
              </w:rPr>
            </m:ctrlPr>
          </m:sSubPr>
          <m:e>
            <m:r>
              <m:rPr>
                <m:nor/>
              </m:rPr>
              <w:rPr>
                <w:i/>
              </w:rPr>
              <m:t>y</m:t>
            </m:r>
            <m:ctrlPr>
              <w:rPr>
                <w:rFonts w:ascii="Cambria Math" w:hAnsi="Cambria Math"/>
                <w:i/>
              </w:rPr>
            </m:ctrlPr>
          </m:e>
          <m:sub>
            <m:sSub>
              <m:sSubPr>
                <m:ctrlPr>
                  <w:rPr>
                    <w:rFonts w:ascii="Cambria Math" w:hAnsi="Cambria Math"/>
                    <w:i/>
                  </w:rPr>
                </m:ctrlPr>
              </m:sSubPr>
              <m:e>
                <m:r>
                  <m:rPr>
                    <m:nor/>
                    <m:sty m:val="p"/>
                  </m:rPr>
                  <m:t>T</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oMath>
      <w:r>
        <w:rPr>
          <w:rFonts w:hint="eastAsia"/>
          <w:szCs w:val="21"/>
        </w:rPr>
        <w:t>——</w:t>
      </w:r>
      <w:r>
        <w:rPr>
          <w:rFonts w:hint="eastAsia"/>
        </w:rPr>
        <w:t>灌浆套筒</w:t>
      </w:r>
      <w:r>
        <w:rPr>
          <w:rFonts w:hint="eastAsia"/>
          <w:szCs w:val="21"/>
        </w:rPr>
        <w:t>第</w:t>
      </w:r>
      <w:r>
        <w:rPr>
          <w:i/>
          <w:szCs w:val="21"/>
        </w:rPr>
        <w:t>i</w:t>
      </w:r>
      <w:r>
        <w:rPr>
          <w:rFonts w:hint="eastAsia"/>
          <w:szCs w:val="21"/>
        </w:rPr>
        <w:t>点</w:t>
      </w:r>
      <w:r>
        <w:rPr>
          <w:rFonts w:hint="eastAsia"/>
        </w:rPr>
        <w:t>中心线位置坐标；</w:t>
      </w:r>
    </w:p>
    <w:p>
      <w:pPr>
        <w:spacing w:line="420" w:lineRule="exact"/>
        <w:ind w:firstLine="630" w:firstLineChars="300"/>
      </w:pPr>
      <m:oMath>
        <m:sSub>
          <m:sSubPr>
            <m:ctrlPr>
              <w:rPr>
                <w:rFonts w:ascii="Cambria Math" w:hAnsi="Cambria Math"/>
                <w:i/>
              </w:rPr>
            </m:ctrlPr>
          </m:sSubPr>
          <m:e>
            <m:r>
              <m:rPr>
                <m:nor/>
              </m:rPr>
              <w:rPr>
                <w:i/>
              </w:rPr>
              <m:t>x</m:t>
            </m:r>
            <m:ctrlPr>
              <w:rPr>
                <w:rFonts w:ascii="Cambria Math" w:hAnsi="Cambria Math"/>
                <w:i/>
              </w:rPr>
            </m:ctrlPr>
          </m:e>
          <m:sub>
            <m:sSub>
              <m:sSubPr>
                <m:ctrlPr>
                  <w:rPr>
                    <w:rFonts w:ascii="Cambria Math" w:hAnsi="Cambria Math"/>
                    <w:i/>
                  </w:rPr>
                </m:ctrlPr>
              </m:sSubPr>
              <m:e>
                <m:r>
                  <m:rPr>
                    <m:nor/>
                    <m:sty m:val="p"/>
                  </m:rPr>
                  <m:t>G</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oMath>
      <w:r>
        <w:rPr>
          <w:rFonts w:hint="eastAsia"/>
          <w:szCs w:val="21"/>
        </w:rPr>
        <w:t>、</w:t>
      </w:r>
      <m:oMath>
        <m:sSub>
          <m:sSubPr>
            <m:ctrlPr>
              <w:rPr>
                <w:rFonts w:ascii="Cambria Math" w:hAnsi="Cambria Math"/>
                <w:i/>
              </w:rPr>
            </m:ctrlPr>
          </m:sSubPr>
          <m:e>
            <m:r>
              <m:rPr>
                <m:nor/>
              </m:rPr>
              <w:rPr>
                <w:i/>
              </w:rPr>
              <m:t>y</m:t>
            </m:r>
            <m:ctrlPr>
              <w:rPr>
                <w:rFonts w:ascii="Cambria Math" w:hAnsi="Cambria Math"/>
                <w:i/>
              </w:rPr>
            </m:ctrlPr>
          </m:e>
          <m:sub>
            <m:sSub>
              <m:sSubPr>
                <m:ctrlPr>
                  <w:rPr>
                    <w:rFonts w:ascii="Cambria Math" w:hAnsi="Cambria Math"/>
                    <w:i/>
                  </w:rPr>
                </m:ctrlPr>
              </m:sSubPr>
              <m:e>
                <m:r>
                  <m:rPr>
                    <m:nor/>
                    <m:sty m:val="p"/>
                  </m:rPr>
                  <m:t>G</m:t>
                </m:r>
                <m:ctrlPr>
                  <w:rPr>
                    <w:rFonts w:ascii="Cambria Math" w:hAnsi="Cambria Math"/>
                    <w:i/>
                  </w:rPr>
                </m:ctrlPr>
              </m:e>
              <m:sub>
                <m:r>
                  <m:rPr>
                    <m:nor/>
                  </m:rPr>
                  <w:rPr>
                    <w:i/>
                  </w:rPr>
                  <m:t>i</m:t>
                </m:r>
                <m:ctrlPr>
                  <w:rPr>
                    <w:rFonts w:ascii="Cambria Math" w:hAnsi="Cambria Math"/>
                    <w:i/>
                  </w:rPr>
                </m:ctrlPr>
              </m:sub>
            </m:sSub>
            <m:ctrlPr>
              <w:rPr>
                <w:rFonts w:ascii="Cambria Math" w:hAnsi="Cambria Math"/>
                <w:i/>
              </w:rPr>
            </m:ctrlPr>
          </m:sub>
        </m:sSub>
      </m:oMath>
      <w:r>
        <w:rPr>
          <w:rFonts w:hint="eastAsia"/>
          <w:szCs w:val="21"/>
        </w:rPr>
        <w:t>——连接钢</w:t>
      </w:r>
      <w:r>
        <w:rPr>
          <w:rFonts w:hint="eastAsia"/>
        </w:rPr>
        <w:t>筋</w:t>
      </w:r>
      <w:r>
        <w:rPr>
          <w:rFonts w:hint="eastAsia"/>
          <w:szCs w:val="21"/>
        </w:rPr>
        <w:t>第</w:t>
      </w:r>
      <w:r>
        <w:rPr>
          <w:i/>
          <w:szCs w:val="21"/>
        </w:rPr>
        <w:t>i</w:t>
      </w:r>
      <w:r>
        <w:rPr>
          <w:rFonts w:hint="eastAsia"/>
          <w:szCs w:val="21"/>
        </w:rPr>
        <w:t>点</w:t>
      </w:r>
      <w:r>
        <w:rPr>
          <w:rFonts w:hint="eastAsia"/>
        </w:rPr>
        <w:t>中心线位置坐标；</w:t>
      </w:r>
    </w:p>
    <w:p>
      <w:pPr>
        <w:spacing w:line="420" w:lineRule="exact"/>
        <w:ind w:firstLine="630" w:firstLineChars="300"/>
      </w:pPr>
      <w:r>
        <w:rPr>
          <w:rFonts w:hint="eastAsia"/>
          <w:i/>
        </w:rPr>
        <w:t>l</w:t>
      </w:r>
      <w:r>
        <w:rPr>
          <w:rFonts w:hint="eastAsia"/>
          <w:vertAlign w:val="subscript"/>
        </w:rPr>
        <w:t>T-G</w:t>
      </w:r>
      <w:r>
        <w:rPr>
          <w:rFonts w:hint="eastAsia"/>
        </w:rPr>
        <w:t>——灌浆套筒与连接钢筋中心线位置偏差。</w:t>
      </w:r>
    </w:p>
    <w:p/>
    <w:bookmarkEnd w:id="286"/>
    <w:bookmarkEnd w:id="287"/>
    <w:bookmarkEnd w:id="288"/>
    <w:bookmarkEnd w:id="289"/>
    <w:bookmarkEnd w:id="290"/>
    <w:bookmarkEnd w:id="291"/>
    <w:p>
      <w:pPr>
        <w:sectPr>
          <w:pgSz w:w="7938" w:h="11510"/>
          <w:pgMar w:top="1083" w:right="1009" w:bottom="1083" w:left="1009" w:header="851" w:footer="992" w:gutter="0"/>
          <w:cols w:space="425" w:num="1"/>
          <w:docGrid w:type="lines" w:linePitch="312" w:charSpace="0"/>
        </w:sectPr>
      </w:pPr>
      <w:bookmarkStart w:id="318" w:name="_Toc522031113"/>
      <w:bookmarkStart w:id="319" w:name="_Toc6325068"/>
      <w:bookmarkStart w:id="320" w:name="_Toc523216212"/>
      <w:bookmarkStart w:id="321" w:name="_Toc6318087"/>
      <w:bookmarkStart w:id="322" w:name="_Toc523216670"/>
      <w:bookmarkStart w:id="323" w:name="_Toc522627958"/>
    </w:p>
    <w:p>
      <w:pPr>
        <w:pStyle w:val="2"/>
        <w:ind w:left="1162" w:hanging="1162" w:hangingChars="415"/>
        <w:jc w:val="both"/>
      </w:pPr>
      <w:bookmarkStart w:id="324" w:name="_Toc12959544"/>
      <w:bookmarkStart w:id="325" w:name="_Toc8736850"/>
      <w:bookmarkStart w:id="326" w:name="_Toc12886322"/>
      <w:bookmarkStart w:id="327" w:name="_Toc17273673"/>
      <w:r>
        <w:rPr>
          <w:rFonts w:hint="eastAsia"/>
        </w:rPr>
        <w:t xml:space="preserve">附录D  </w:t>
      </w:r>
      <w:bookmarkEnd w:id="318"/>
      <w:r>
        <w:rPr>
          <w:rFonts w:hint="eastAsia"/>
        </w:rPr>
        <w:t>用于检测套筒</w:t>
      </w:r>
      <w:bookmarkStart w:id="328" w:name="_Hlk24038804"/>
      <w:r>
        <w:rPr>
          <w:rFonts w:hint="eastAsia"/>
        </w:rPr>
        <w:t>灌浆饱满度</w:t>
      </w:r>
      <w:bookmarkEnd w:id="328"/>
      <w:r>
        <w:rPr>
          <w:rFonts w:hint="eastAsia"/>
        </w:rPr>
        <w:t>的预埋传感器法</w:t>
      </w:r>
      <w:bookmarkEnd w:id="319"/>
      <w:bookmarkEnd w:id="320"/>
      <w:bookmarkEnd w:id="321"/>
      <w:bookmarkEnd w:id="322"/>
      <w:bookmarkEnd w:id="323"/>
      <w:bookmarkEnd w:id="324"/>
      <w:bookmarkEnd w:id="325"/>
      <w:bookmarkEnd w:id="326"/>
      <w:bookmarkEnd w:id="327"/>
      <w:r>
        <w:fldChar w:fldCharType="begin"/>
      </w:r>
      <w:r>
        <w:instrText xml:space="preserve"> </w:instrText>
      </w:r>
      <w:r>
        <w:rPr>
          <w:rFonts w:hint="eastAsia"/>
        </w:rPr>
        <w:instrText xml:space="preserve">TC  "</w:instrText>
      </w:r>
      <w:bookmarkStart w:id="329" w:name="_Toc17274712"/>
      <w:r>
        <w:rPr>
          <w:rFonts w:hint="eastAsia"/>
        </w:rPr>
        <w:instrText xml:space="preserve">Appendix D  </w:instrText>
      </w:r>
      <w:r>
        <w:instrText xml:space="preserve">Preburied Sensor Method for Measuring the Full Degree of Sleeve Grouting</w:instrText>
      </w:r>
      <w:bookmarkEnd w:id="329"/>
      <w:r>
        <w:rPr>
          <w:rFonts w:hint="eastAsia"/>
        </w:rPr>
        <w:instrText xml:space="preserve">" \l 1</w:instrText>
      </w:r>
      <w:r>
        <w:instrText xml:space="preserve"> </w:instrText>
      </w:r>
      <w:r>
        <w:fldChar w:fldCharType="end"/>
      </w:r>
    </w:p>
    <w:p>
      <w:r>
        <w:rPr>
          <w:rFonts w:hint="eastAsia"/>
          <w:b/>
        </w:rPr>
        <w:t>D.0.1</w:t>
      </w:r>
      <w:r>
        <w:rPr>
          <w:rFonts w:hint="eastAsia"/>
        </w:rPr>
        <w:t xml:space="preserve"> </w:t>
      </w:r>
      <w:r>
        <w:t xml:space="preserve"> </w:t>
      </w:r>
      <w:r>
        <w:rPr>
          <w:rFonts w:hint="eastAsia"/>
        </w:rPr>
        <w:t>检测仪器包括灌浆饱满度检测仪和专用传感器，应符合下列规定：</w:t>
      </w:r>
    </w:p>
    <w:p>
      <w:pPr>
        <w:ind w:firstLine="316" w:firstLineChars="150"/>
      </w:pPr>
      <w:r>
        <w:rPr>
          <w:rFonts w:hint="eastAsia"/>
          <w:b/>
        </w:rPr>
        <w:t>1</w:t>
      </w:r>
      <w:r>
        <w:rPr>
          <w:rFonts w:hint="eastAsia"/>
        </w:rPr>
        <w:t xml:space="preserve"> </w:t>
      </w:r>
      <w:r>
        <w:t xml:space="preserve"> </w:t>
      </w:r>
      <w:r>
        <w:rPr>
          <w:rFonts w:hint="eastAsia"/>
        </w:rPr>
        <w:t>灌浆饱满度检测仪幅值线性度每10dB优于±1.0dB，频带宽度在10~100kHz之间；</w:t>
      </w:r>
    </w:p>
    <w:p>
      <w:pPr>
        <w:ind w:firstLine="316" w:firstLineChars="150"/>
      </w:pPr>
      <w:r>
        <w:rPr>
          <w:rFonts w:hint="eastAsia"/>
          <w:b/>
        </w:rPr>
        <w:t>2</w:t>
      </w:r>
      <w:r>
        <w:rPr>
          <w:rFonts w:hint="eastAsia"/>
        </w:rPr>
        <w:t xml:space="preserve"> </w:t>
      </w:r>
      <w:r>
        <w:t xml:space="preserve"> </w:t>
      </w:r>
      <w:r>
        <w:rPr>
          <w:rFonts w:hint="eastAsia"/>
        </w:rPr>
        <w:t>专用传感器端头核心元件直径不大于10mm，与端头核心元件相连的钢丝直径为2~3mm；</w:t>
      </w:r>
    </w:p>
    <w:p>
      <w:pPr>
        <w:ind w:firstLine="316" w:firstLineChars="150"/>
      </w:pPr>
      <w:r>
        <w:rPr>
          <w:rFonts w:hint="eastAsia"/>
          <w:b/>
        </w:rPr>
        <w:t xml:space="preserve">3 </w:t>
      </w:r>
      <w:r>
        <w:t xml:space="preserve"> </w:t>
      </w:r>
      <w:r>
        <w:rPr>
          <w:rFonts w:hint="eastAsia"/>
        </w:rPr>
        <w:t>专用传感器和橡胶塞集成设计，橡胶塞上钢丝直径与穿孔孔径相同，排气孔径不小于3mm。</w:t>
      </w:r>
    </w:p>
    <w:p>
      <w:r>
        <w:rPr>
          <w:rFonts w:hint="eastAsia"/>
          <w:b/>
        </w:rPr>
        <w:t>D.0.</w:t>
      </w:r>
      <w:r>
        <w:rPr>
          <w:b/>
        </w:rPr>
        <w:t>2</w:t>
      </w:r>
      <w:r>
        <w:rPr>
          <w:rFonts w:hint="eastAsia"/>
        </w:rPr>
        <w:t xml:space="preserve"> </w:t>
      </w:r>
      <w:r>
        <w:t xml:space="preserve"> </w:t>
      </w:r>
      <w:r>
        <w:rPr>
          <w:rFonts w:hint="eastAsia"/>
        </w:rPr>
        <w:t>传感器由排浆孔伸入，至靠近排浆孔一侧的钢筋表面位置就位。就位后传感器正面朝向侧边，橡胶塞排气孔朝向正上方，并应符合下列规定：</w:t>
      </w:r>
    </w:p>
    <w:p>
      <w:pPr>
        <w:ind w:firstLine="316" w:firstLineChars="150"/>
      </w:pPr>
      <w:r>
        <w:rPr>
          <w:b/>
        </w:rPr>
        <w:t>1</w:t>
      </w:r>
      <w:r>
        <w:t xml:space="preserve">  </w:t>
      </w:r>
      <w:r>
        <w:rPr>
          <w:rFonts w:hint="eastAsia"/>
        </w:rPr>
        <w:t>橡胶塞应紧固到位，保证排浆时不因灌浆压力而被冲出；</w:t>
      </w:r>
    </w:p>
    <w:p>
      <w:pPr>
        <w:ind w:firstLine="316" w:firstLineChars="150"/>
      </w:pPr>
      <w:r>
        <w:rPr>
          <w:b/>
        </w:rPr>
        <w:t>2</w:t>
      </w:r>
      <w:r>
        <w:t xml:space="preserve">  </w:t>
      </w:r>
      <w:r>
        <w:rPr>
          <w:rFonts w:hint="eastAsia"/>
        </w:rPr>
        <w:t>橡胶塞排气孔应畅通，灌满时浆体能够从排气孔流出并及时用细木棒封堵。</w:t>
      </w:r>
    </w:p>
    <w:p>
      <w:r>
        <w:rPr>
          <w:rFonts w:hint="eastAsia"/>
          <w:b/>
          <w:bCs/>
        </w:rPr>
        <w:t>D.0.</w:t>
      </w:r>
      <w:r>
        <w:rPr>
          <w:b/>
          <w:bCs/>
        </w:rPr>
        <w:t>3</w:t>
      </w:r>
      <w:r>
        <w:t xml:space="preserve">  </w:t>
      </w:r>
      <w:r>
        <w:rPr>
          <w:rFonts w:hint="eastAsia"/>
        </w:rPr>
        <w:t>采用连通腔灌浆，一般选择位于中间套筒的底部灌浆孔作为连通腔灌浆孔，其他套筒底部的灌浆孔和没有预埋传感器的出浆口出浆时用橡胶塞封堵，各套筒预埋传感器自带橡胶塞的排气孔有灌浆料流出时用细木棒封堵排气孔，最后用橡胶塞封堵连通腔灌浆孔，完成灌浆。对于不具备连通腔灌浆条件的套筒，可采用单独灌浆方式。</w:t>
      </w:r>
    </w:p>
    <w:p>
      <w:r>
        <w:rPr>
          <w:rFonts w:hint="eastAsia"/>
          <w:b/>
        </w:rPr>
        <w:t>D.0.</w:t>
      </w:r>
      <w:r>
        <w:rPr>
          <w:b/>
        </w:rPr>
        <w:t>4</w:t>
      </w:r>
      <w:r>
        <w:rPr>
          <w:rFonts w:hint="eastAsia"/>
        </w:rPr>
        <w:t xml:space="preserve"> </w:t>
      </w:r>
      <w:r>
        <w:t xml:space="preserve"> </w:t>
      </w:r>
      <w:r>
        <w:rPr>
          <w:rFonts w:hint="eastAsia"/>
        </w:rPr>
        <w:t>灌浆结束后至灌浆料初凝前，每间隔5min记录传感器的振动能量值。</w:t>
      </w:r>
    </w:p>
    <w:p>
      <w:r>
        <w:rPr>
          <w:rFonts w:hint="eastAsia"/>
          <w:b/>
        </w:rPr>
        <w:t>D.0.</w:t>
      </w:r>
      <w:r>
        <w:rPr>
          <w:b/>
        </w:rPr>
        <w:t>5</w:t>
      </w:r>
      <w:r>
        <w:t xml:space="preserve"> </w:t>
      </w:r>
      <w:r>
        <w:rPr>
          <w:rFonts w:hint="eastAsia"/>
        </w:rPr>
        <w:t xml:space="preserve"> 结果判别标准：当振动能量值≤100时，判断灌浆饱满。当振动能量值&gt;100，判断</w:t>
      </w:r>
      <w:bookmarkStart w:id="330" w:name="_Hlk6571468"/>
      <w:r>
        <w:rPr>
          <w:rFonts w:hint="eastAsia"/>
        </w:rPr>
        <w:t>灌浆未饱满</w:t>
      </w:r>
      <w:bookmarkEnd w:id="330"/>
      <w:r>
        <w:rPr>
          <w:rFonts w:hint="eastAsia"/>
        </w:rPr>
        <w:t>；或传感器任意读数大于100，应判断灌浆未饱满。</w:t>
      </w:r>
    </w:p>
    <w:p>
      <w:r>
        <w:rPr>
          <w:rFonts w:hint="eastAsia"/>
          <w:b/>
        </w:rPr>
        <w:t>D.0.</w:t>
      </w:r>
      <w:r>
        <w:rPr>
          <w:b/>
        </w:rPr>
        <w:t>6</w:t>
      </w:r>
      <w:r>
        <w:rPr>
          <w:rFonts w:hint="eastAsia"/>
        </w:rPr>
        <w:t xml:space="preserve"> </w:t>
      </w:r>
      <w:r>
        <w:t xml:space="preserve"> </w:t>
      </w:r>
      <w:r>
        <w:rPr>
          <w:rFonts w:hint="eastAsia"/>
        </w:rPr>
        <w:t>检测报告应至少包括以下内容：</w:t>
      </w:r>
    </w:p>
    <w:p>
      <w:pPr>
        <w:ind w:firstLine="316" w:firstLineChars="150"/>
      </w:pPr>
      <w:r>
        <w:rPr>
          <w:rFonts w:hint="eastAsia"/>
          <w:b/>
        </w:rPr>
        <w:t>1</w:t>
      </w:r>
      <w:r>
        <w:rPr>
          <w:b/>
        </w:rPr>
        <w:t xml:space="preserve"> </w:t>
      </w:r>
      <w:r>
        <w:rPr>
          <w:rFonts w:hint="eastAsia"/>
        </w:rPr>
        <w:t xml:space="preserve"> 工程名称、委托单位；</w:t>
      </w:r>
    </w:p>
    <w:p>
      <w:pPr>
        <w:ind w:firstLine="316" w:firstLineChars="150"/>
      </w:pPr>
      <w:r>
        <w:rPr>
          <w:rFonts w:hint="eastAsia"/>
          <w:b/>
        </w:rPr>
        <w:t>2</w:t>
      </w:r>
      <w:r>
        <w:t xml:space="preserve">  </w:t>
      </w:r>
      <w:r>
        <w:rPr>
          <w:rFonts w:hint="eastAsia"/>
        </w:rPr>
        <w:t>灌浆套筒位置、连接方式等；</w:t>
      </w:r>
    </w:p>
    <w:p>
      <w:pPr>
        <w:ind w:firstLine="316" w:firstLineChars="150"/>
      </w:pPr>
      <w:r>
        <w:rPr>
          <w:rFonts w:hint="eastAsia"/>
          <w:b/>
        </w:rPr>
        <w:t>3</w:t>
      </w:r>
      <w:r>
        <w:t xml:space="preserve">  </w:t>
      </w:r>
      <w:r>
        <w:rPr>
          <w:rFonts w:hint="eastAsia"/>
        </w:rPr>
        <w:t>所用的主要仪器设备；</w:t>
      </w:r>
    </w:p>
    <w:p>
      <w:pPr>
        <w:ind w:firstLine="316" w:firstLineChars="150"/>
      </w:pPr>
      <w:r>
        <w:rPr>
          <w:rFonts w:hint="eastAsia"/>
          <w:b/>
        </w:rPr>
        <w:t>4</w:t>
      </w:r>
      <w:r>
        <w:t xml:space="preserve">  </w:t>
      </w:r>
      <w:r>
        <w:rPr>
          <w:rFonts w:hint="eastAsia"/>
        </w:rPr>
        <w:t>检测结果；</w:t>
      </w:r>
    </w:p>
    <w:p>
      <w:pPr>
        <w:ind w:firstLine="316" w:firstLineChars="150"/>
      </w:pPr>
      <w:r>
        <w:rPr>
          <w:rFonts w:hint="eastAsia"/>
          <w:b/>
        </w:rPr>
        <w:t>5</w:t>
      </w:r>
      <w:r>
        <w:t xml:space="preserve">  </w:t>
      </w:r>
      <w:r>
        <w:rPr>
          <w:rFonts w:hint="eastAsia"/>
        </w:rPr>
        <w:t>检测日期、检测人员签字及其他。</w:t>
      </w:r>
    </w:p>
    <w:p>
      <w:pPr>
        <w:sectPr>
          <w:pgSz w:w="7938" w:h="11510"/>
          <w:pgMar w:top="1083" w:right="1009" w:bottom="1083" w:left="1009" w:header="851" w:footer="992" w:gutter="0"/>
          <w:cols w:space="425" w:num="1"/>
          <w:docGrid w:type="lines" w:linePitch="312" w:charSpace="0"/>
        </w:sectPr>
      </w:pPr>
    </w:p>
    <w:p>
      <w:pPr>
        <w:pStyle w:val="2"/>
      </w:pPr>
      <w:bookmarkStart w:id="331" w:name="_Toc12886323"/>
      <w:bookmarkStart w:id="332" w:name="_Toc12959545"/>
      <w:bookmarkStart w:id="333" w:name="_Toc17273674"/>
      <w:bookmarkStart w:id="334" w:name="_Toc8736851"/>
      <w:bookmarkStart w:id="335" w:name="_Toc6325067"/>
      <w:bookmarkStart w:id="336" w:name="_Toc6318086"/>
      <w:r>
        <w:rPr>
          <w:rFonts w:hint="eastAsia"/>
        </w:rPr>
        <w:t>附录E  隔墙冲击试验</w:t>
      </w:r>
      <w:bookmarkEnd w:id="331"/>
      <w:bookmarkEnd w:id="332"/>
      <w:bookmarkEnd w:id="333"/>
      <w:bookmarkEnd w:id="334"/>
      <w:bookmarkEnd w:id="335"/>
      <w:bookmarkEnd w:id="336"/>
      <w:r>
        <w:fldChar w:fldCharType="begin"/>
      </w:r>
      <w:r>
        <w:instrText xml:space="preserve"> </w:instrText>
      </w:r>
      <w:r>
        <w:rPr>
          <w:rFonts w:hint="eastAsia"/>
        </w:rPr>
        <w:instrText xml:space="preserve">TC  "</w:instrText>
      </w:r>
      <w:bookmarkStart w:id="337" w:name="_Toc17274713"/>
      <w:r>
        <w:rPr>
          <w:rFonts w:hint="eastAsia"/>
        </w:rPr>
        <w:instrText xml:space="preserve">Appendix E </w:instrText>
      </w:r>
      <w:r>
        <w:instrText xml:space="preserve"> </w:instrText>
      </w:r>
      <w:r>
        <w:rPr>
          <w:rFonts w:hint="eastAsia"/>
        </w:rPr>
        <w:instrText xml:space="preserve">Impact Test of Partition Wall</w:instrText>
      </w:r>
      <w:bookmarkEnd w:id="337"/>
      <w:r>
        <w:rPr>
          <w:rFonts w:hint="eastAsia"/>
        </w:rPr>
        <w:instrText xml:space="preserve">" \l 1</w:instrText>
      </w:r>
      <w:r>
        <w:instrText xml:space="preserve"> </w:instrText>
      </w:r>
      <w:r>
        <w:fldChar w:fldCharType="end"/>
      </w:r>
    </w:p>
    <w:p>
      <w:r>
        <w:rPr>
          <w:rFonts w:hint="eastAsia"/>
          <w:b/>
        </w:rPr>
        <w:t>E.0.</w:t>
      </w:r>
      <w:r>
        <w:rPr>
          <w:b/>
        </w:rPr>
        <w:t>1</w:t>
      </w:r>
      <w:r>
        <w:t xml:space="preserve">  </w:t>
      </w:r>
      <w:r>
        <w:rPr>
          <w:rFonts w:hint="eastAsia"/>
        </w:rPr>
        <w:t>冲击体由两个轮胎、配重块和其他连接件组成，轮胎内压力宜为0.35±0.02MPa；内隔墙冲击体的总重量宜为30±0.1kg，分户隔墙冲击体的总重量宜为70±0.1kg，其组成结构如图E.0.</w:t>
      </w:r>
      <w:r>
        <w:t>1</w:t>
      </w:r>
      <w:r>
        <w:rPr>
          <w:rFonts w:hint="eastAsia"/>
        </w:rPr>
        <w:t>所示。</w:t>
      </w:r>
    </w:p>
    <w:p>
      <w:pPr>
        <w:spacing w:line="240" w:lineRule="auto"/>
        <w:jc w:val="center"/>
        <w:rPr>
          <w:color w:val="FF0000"/>
        </w:rPr>
      </w:pPr>
      <w:r>
        <w:rPr>
          <w:rFonts w:hint="eastAsia"/>
          <w:color w:val="FF0000"/>
        </w:rPr>
        <w:drawing>
          <wp:inline distT="0" distB="0" distL="0" distR="0">
            <wp:extent cx="2324100" cy="1549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24100" cy="1549400"/>
                    </a:xfrm>
                    <a:prstGeom prst="rect">
                      <a:avLst/>
                    </a:prstGeom>
                    <a:noFill/>
                    <a:ln>
                      <a:noFill/>
                    </a:ln>
                  </pic:spPr>
                </pic:pic>
              </a:graphicData>
            </a:graphic>
          </wp:inline>
        </w:drawing>
      </w:r>
    </w:p>
    <w:p>
      <w:pPr>
        <w:spacing w:line="240" w:lineRule="auto"/>
        <w:jc w:val="center"/>
        <w:rPr>
          <w:sz w:val="18"/>
          <w:szCs w:val="18"/>
        </w:rPr>
      </w:pPr>
      <w:r>
        <w:rPr>
          <w:sz w:val="18"/>
          <w:szCs w:val="18"/>
        </w:rPr>
        <w:t>图E.0.1  冲击体结构示意图</w:t>
      </w:r>
    </w:p>
    <w:p>
      <w:pPr>
        <w:spacing w:line="240" w:lineRule="auto"/>
        <w:jc w:val="center"/>
        <w:rPr>
          <w:sz w:val="15"/>
          <w:szCs w:val="15"/>
        </w:rPr>
      </w:pPr>
      <w:r>
        <w:rPr>
          <w:rFonts w:hint="eastAsia"/>
          <w:sz w:val="15"/>
          <w:szCs w:val="15"/>
        </w:rPr>
        <w:t>1—吊环；2—螺杆；3—锁紧六角螺母；</w:t>
      </w:r>
      <w:r>
        <w:rPr>
          <w:sz w:val="15"/>
          <w:szCs w:val="15"/>
        </w:rPr>
        <w:t>4</w:t>
      </w:r>
      <w:r>
        <w:rPr>
          <w:rFonts w:hint="eastAsia"/>
          <w:sz w:val="15"/>
          <w:szCs w:val="15"/>
        </w:rPr>
        <w:t>—六角螺母；5—调整垫；6—配重块；</w:t>
      </w:r>
    </w:p>
    <w:p>
      <w:pPr>
        <w:spacing w:line="240" w:lineRule="auto"/>
        <w:jc w:val="center"/>
        <w:rPr>
          <w:sz w:val="15"/>
          <w:szCs w:val="15"/>
        </w:rPr>
      </w:pPr>
      <w:r>
        <w:rPr>
          <w:rFonts w:hint="eastAsia"/>
          <w:sz w:val="15"/>
          <w:szCs w:val="15"/>
        </w:rPr>
        <w:t>7—轮胎；8—轮圈</w:t>
      </w:r>
    </w:p>
    <w:p>
      <w:r>
        <w:rPr>
          <w:rFonts w:hint="eastAsia"/>
          <w:b/>
        </w:rPr>
        <w:t>E.0.</w:t>
      </w:r>
      <w:r>
        <w:rPr>
          <w:b/>
        </w:rPr>
        <w:t>2</w:t>
      </w:r>
      <w:r>
        <w:t xml:space="preserve">  </w:t>
      </w:r>
      <w:r>
        <w:rPr>
          <w:rFonts w:hint="eastAsia"/>
        </w:rPr>
        <w:t>冲击装置如图E.0.</w:t>
      </w:r>
      <w:r>
        <w:t>2</w:t>
      </w:r>
      <w:r>
        <w:rPr>
          <w:rFonts w:hint="eastAsia"/>
        </w:rPr>
        <w:t>所示，冲击试验设备应符合下列规定：</w:t>
      </w:r>
    </w:p>
    <w:p>
      <w:pPr>
        <w:ind w:firstLine="314" w:firstLineChars="149"/>
        <w:rPr>
          <w:color w:val="FF0000"/>
        </w:rPr>
      </w:pPr>
      <w:r>
        <w:rPr>
          <w:b/>
        </w:rPr>
        <w:t xml:space="preserve">1 </w:t>
      </w:r>
      <w:r>
        <w:t xml:space="preserve"> </w:t>
      </w:r>
      <w:r>
        <w:rPr>
          <w:rFonts w:hint="eastAsia"/>
        </w:rPr>
        <w:t>悬挂冲击体的挂点应足够坚固，悬挂绳宜采用直径5mm的不锈钢钢丝；</w:t>
      </w:r>
    </w:p>
    <w:p>
      <w:pPr>
        <w:ind w:firstLine="306" w:firstLineChars="145"/>
      </w:pPr>
      <w:r>
        <w:rPr>
          <w:rFonts w:hint="eastAsia"/>
          <w:b/>
        </w:rPr>
        <w:t>2</w:t>
      </w:r>
      <w:r>
        <w:rPr>
          <w:b/>
        </w:rPr>
        <w:t xml:space="preserve"> </w:t>
      </w:r>
      <w:r>
        <w:t xml:space="preserve"> </w:t>
      </w:r>
      <w:r>
        <w:rPr>
          <w:rFonts w:hint="eastAsia"/>
        </w:rPr>
        <w:t>冲击体和悬挂绳在自由状态时，轮胎外缘与试件表面的距离宜大于5mm，且小于15mm。冲击体的几何中心应位于被测冲击点以50mm为半径圆形的范围内；</w:t>
      </w:r>
    </w:p>
    <w:p>
      <w:pPr>
        <w:ind w:firstLine="306" w:firstLineChars="145"/>
      </w:pPr>
      <w:r>
        <w:rPr>
          <w:rFonts w:hint="eastAsia"/>
          <w:b/>
        </w:rPr>
        <w:t xml:space="preserve">3  </w:t>
      </w:r>
      <w:r>
        <w:rPr>
          <w:rFonts w:hint="eastAsia"/>
        </w:rPr>
        <w:t>冲击体释放装置应能准确定位冲击体的提升高度，保持冲击体中心线和悬挂绳中心线在同一条直线上，并确保冲击体被释放后能够自由摆动。</w:t>
      </w:r>
    </w:p>
    <w:p>
      <w:pPr>
        <w:spacing w:line="240" w:lineRule="auto"/>
        <w:jc w:val="center"/>
      </w:pPr>
      <w:r>
        <w:rPr>
          <w:rFonts w:hint="eastAsia"/>
        </w:rPr>
        <w:drawing>
          <wp:inline distT="0" distB="0" distL="0" distR="0">
            <wp:extent cx="3054350" cy="15494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54350" cy="1549400"/>
                    </a:xfrm>
                    <a:prstGeom prst="rect">
                      <a:avLst/>
                    </a:prstGeom>
                    <a:noFill/>
                    <a:ln>
                      <a:noFill/>
                    </a:ln>
                  </pic:spPr>
                </pic:pic>
              </a:graphicData>
            </a:graphic>
          </wp:inline>
        </w:drawing>
      </w:r>
    </w:p>
    <w:p>
      <w:pPr>
        <w:spacing w:line="240" w:lineRule="auto"/>
        <w:jc w:val="center"/>
        <w:rPr>
          <w:sz w:val="18"/>
          <w:szCs w:val="18"/>
        </w:rPr>
      </w:pPr>
      <w:r>
        <w:rPr>
          <w:sz w:val="18"/>
          <w:szCs w:val="18"/>
        </w:rPr>
        <w:t>图E.0.2  试验装置示意图</w:t>
      </w:r>
    </w:p>
    <w:p>
      <w:pPr>
        <w:spacing w:line="240" w:lineRule="auto"/>
        <w:jc w:val="center"/>
        <w:rPr>
          <w:sz w:val="15"/>
          <w:szCs w:val="15"/>
        </w:rPr>
      </w:pPr>
      <w:r>
        <w:rPr>
          <w:rFonts w:hint="eastAsia"/>
          <w:sz w:val="15"/>
          <w:szCs w:val="15"/>
        </w:rPr>
        <w:t>1—隔墙接缝；</w:t>
      </w:r>
      <w:r>
        <w:rPr>
          <w:sz w:val="15"/>
          <w:szCs w:val="15"/>
        </w:rPr>
        <w:t>2</w:t>
      </w:r>
      <w:r>
        <w:rPr>
          <w:rFonts w:hint="eastAsia"/>
          <w:sz w:val="15"/>
          <w:szCs w:val="15"/>
        </w:rPr>
        <w:t>—悬挂绳；</w:t>
      </w:r>
      <w:r>
        <w:rPr>
          <w:sz w:val="15"/>
          <w:szCs w:val="15"/>
        </w:rPr>
        <w:t>3</w:t>
      </w:r>
      <w:r>
        <w:rPr>
          <w:rFonts w:hint="eastAsia"/>
          <w:sz w:val="15"/>
          <w:szCs w:val="15"/>
        </w:rPr>
        <w:t>—释放绳；</w:t>
      </w:r>
      <w:r>
        <w:rPr>
          <w:sz w:val="15"/>
          <w:szCs w:val="15"/>
        </w:rPr>
        <w:t>4</w:t>
      </w:r>
      <w:r>
        <w:rPr>
          <w:rFonts w:hint="eastAsia"/>
          <w:sz w:val="15"/>
          <w:szCs w:val="15"/>
        </w:rPr>
        <w:t>—冲击体；</w:t>
      </w:r>
      <w:r>
        <w:rPr>
          <w:sz w:val="15"/>
          <w:szCs w:val="15"/>
        </w:rPr>
        <w:t>5</w:t>
      </w:r>
      <w:r>
        <w:rPr>
          <w:rFonts w:hint="eastAsia"/>
          <w:sz w:val="15"/>
          <w:szCs w:val="15"/>
        </w:rPr>
        <w:t>—自动脱钩器；</w:t>
      </w:r>
      <w:r>
        <w:rPr>
          <w:sz w:val="15"/>
          <w:szCs w:val="15"/>
        </w:rPr>
        <w:t>6</w:t>
      </w:r>
      <w:r>
        <w:rPr>
          <w:rFonts w:hint="eastAsia"/>
          <w:sz w:val="15"/>
          <w:szCs w:val="15"/>
        </w:rPr>
        <w:t>—降落高度；</w:t>
      </w:r>
    </w:p>
    <w:p>
      <w:pPr>
        <w:spacing w:line="240" w:lineRule="auto"/>
        <w:jc w:val="center"/>
        <w:rPr>
          <w:sz w:val="15"/>
          <w:szCs w:val="15"/>
        </w:rPr>
      </w:pPr>
      <w:r>
        <w:rPr>
          <w:sz w:val="15"/>
          <w:szCs w:val="15"/>
        </w:rPr>
        <w:t>7</w:t>
      </w:r>
      <w:r>
        <w:rPr>
          <w:rFonts w:hint="eastAsia"/>
          <w:sz w:val="15"/>
          <w:szCs w:val="15"/>
        </w:rPr>
        <w:t>—冲击体与试件间距；</w:t>
      </w:r>
      <w:r>
        <w:rPr>
          <w:sz w:val="15"/>
          <w:szCs w:val="15"/>
        </w:rPr>
        <w:t>8</w:t>
      </w:r>
      <w:r>
        <w:rPr>
          <w:rFonts w:hint="eastAsia"/>
          <w:sz w:val="15"/>
          <w:szCs w:val="15"/>
        </w:rPr>
        <w:t>—悬挂绳吊环；</w:t>
      </w:r>
      <w:r>
        <w:rPr>
          <w:sz w:val="15"/>
          <w:szCs w:val="15"/>
        </w:rPr>
        <w:t>9</w:t>
      </w:r>
      <w:r>
        <w:rPr>
          <w:rFonts w:hint="eastAsia"/>
          <w:sz w:val="15"/>
          <w:szCs w:val="15"/>
        </w:rPr>
        <w:t>—释放绳吊环；</w:t>
      </w:r>
      <w:r>
        <w:rPr>
          <w:sz w:val="15"/>
          <w:szCs w:val="15"/>
        </w:rPr>
        <w:t>10</w:t>
      </w:r>
      <w:r>
        <w:rPr>
          <w:rFonts w:hint="eastAsia"/>
          <w:sz w:val="15"/>
          <w:szCs w:val="15"/>
        </w:rPr>
        <w:t>—位移计</w:t>
      </w:r>
    </w:p>
    <w:p>
      <w:r>
        <w:rPr>
          <w:rFonts w:hint="eastAsia"/>
          <w:b/>
        </w:rPr>
        <w:t>E.0.</w:t>
      </w:r>
      <w:r>
        <w:rPr>
          <w:b/>
        </w:rPr>
        <w:t>3</w:t>
      </w:r>
      <w:r>
        <w:t xml:space="preserve">  </w:t>
      </w:r>
      <w:r>
        <w:rPr>
          <w:rFonts w:hint="eastAsia"/>
        </w:rPr>
        <w:t>冲击点应符合设计要求，当设计无要求时，可选择墙板中心位置或楼板高度1.5m处。</w:t>
      </w:r>
    </w:p>
    <w:p>
      <w:r>
        <w:rPr>
          <w:rFonts w:hint="eastAsia"/>
          <w:b/>
        </w:rPr>
        <w:t>E.0.</w:t>
      </w:r>
      <w:r>
        <w:rPr>
          <w:b/>
        </w:rPr>
        <w:t>4</w:t>
      </w:r>
      <w:r>
        <w:t xml:space="preserve">  </w:t>
      </w:r>
      <w:r>
        <w:rPr>
          <w:rFonts w:hint="eastAsia"/>
        </w:rPr>
        <w:t>冲击体降落高度宜为0.45±0.02m，每构件反复进行5次冲击，且应避免因弹性产生的二次冲击。</w:t>
      </w:r>
    </w:p>
    <w:p>
      <w:r>
        <w:rPr>
          <w:rFonts w:hint="eastAsia"/>
          <w:b/>
        </w:rPr>
        <w:t>E.0.</w:t>
      </w:r>
      <w:r>
        <w:rPr>
          <w:b/>
        </w:rPr>
        <w:t>5</w:t>
      </w:r>
      <w:r>
        <w:t xml:space="preserve">  </w:t>
      </w:r>
      <w:r>
        <w:rPr>
          <w:rFonts w:hint="eastAsia"/>
        </w:rPr>
        <w:t>试验报告应至少包括以下内容：</w:t>
      </w:r>
    </w:p>
    <w:p>
      <w:pPr>
        <w:ind w:firstLine="314" w:firstLineChars="149"/>
      </w:pPr>
      <w:r>
        <w:rPr>
          <w:b/>
        </w:rPr>
        <w:t xml:space="preserve">1 </w:t>
      </w:r>
      <w:r>
        <w:t xml:space="preserve"> </w:t>
      </w:r>
      <w:r>
        <w:rPr>
          <w:rFonts w:hint="eastAsia"/>
        </w:rPr>
        <w:t>测试目的和测试依据；</w:t>
      </w:r>
    </w:p>
    <w:p>
      <w:pPr>
        <w:ind w:firstLine="310" w:firstLineChars="147"/>
      </w:pPr>
      <w:r>
        <w:rPr>
          <w:rFonts w:hint="eastAsia"/>
          <w:b/>
        </w:rPr>
        <w:t>2</w:t>
      </w:r>
      <w:r>
        <w:rPr>
          <w:b/>
        </w:rPr>
        <w:t xml:space="preserve"> </w:t>
      </w:r>
      <w:r>
        <w:t xml:space="preserve"> </w:t>
      </w:r>
      <w:r>
        <w:rPr>
          <w:rFonts w:hint="eastAsia"/>
        </w:rPr>
        <w:t>工程名称、试件名称及其委托单位；</w:t>
      </w:r>
    </w:p>
    <w:p>
      <w:pPr>
        <w:ind w:firstLine="310" w:firstLineChars="147"/>
      </w:pPr>
      <w:r>
        <w:rPr>
          <w:rFonts w:hint="eastAsia"/>
          <w:b/>
        </w:rPr>
        <w:t>3</w:t>
      </w:r>
      <w:r>
        <w:rPr>
          <w:rFonts w:hint="eastAsia"/>
        </w:rPr>
        <w:t xml:space="preserve">  试件位置、类型、规格尺寸、材料、连接方式等；</w:t>
      </w:r>
    </w:p>
    <w:p>
      <w:pPr>
        <w:ind w:firstLine="310" w:firstLineChars="147"/>
      </w:pPr>
      <w:r>
        <w:rPr>
          <w:rFonts w:hint="eastAsia"/>
          <w:b/>
        </w:rPr>
        <w:t>4</w:t>
      </w:r>
      <w:r>
        <w:rPr>
          <w:rFonts w:hint="eastAsia"/>
        </w:rPr>
        <w:t xml:space="preserve">  现场试验的环境条件；</w:t>
      </w:r>
    </w:p>
    <w:p>
      <w:pPr>
        <w:ind w:firstLine="310" w:firstLineChars="147"/>
      </w:pPr>
      <w:r>
        <w:rPr>
          <w:rFonts w:hint="eastAsia"/>
          <w:b/>
        </w:rPr>
        <w:t>5</w:t>
      </w:r>
      <w:r>
        <w:rPr>
          <w:rFonts w:hint="eastAsia"/>
        </w:rPr>
        <w:t xml:space="preserve">  所用的主要仪器设备；</w:t>
      </w:r>
    </w:p>
    <w:p>
      <w:pPr>
        <w:ind w:firstLine="310" w:firstLineChars="147"/>
      </w:pPr>
      <w:r>
        <w:rPr>
          <w:rFonts w:hint="eastAsia"/>
          <w:b/>
        </w:rPr>
        <w:t>6</w:t>
      </w:r>
      <w:r>
        <w:rPr>
          <w:rFonts w:hint="eastAsia"/>
        </w:rPr>
        <w:t xml:space="preserve">  试验过程的详细情况；</w:t>
      </w:r>
    </w:p>
    <w:p>
      <w:pPr>
        <w:ind w:firstLine="310" w:firstLineChars="147"/>
      </w:pPr>
      <w:r>
        <w:rPr>
          <w:rFonts w:hint="eastAsia"/>
          <w:b/>
        </w:rPr>
        <w:t>7</w:t>
      </w:r>
      <w:r>
        <w:rPr>
          <w:rFonts w:hint="eastAsia"/>
        </w:rPr>
        <w:t xml:space="preserve">  试验数据及结论；</w:t>
      </w:r>
    </w:p>
    <w:p>
      <w:pPr>
        <w:ind w:firstLine="310" w:firstLineChars="147"/>
      </w:pPr>
      <w:r>
        <w:rPr>
          <w:rFonts w:hint="eastAsia"/>
          <w:b/>
        </w:rPr>
        <w:t>8</w:t>
      </w:r>
      <w:r>
        <w:rPr>
          <w:rFonts w:hint="eastAsia"/>
        </w:rPr>
        <w:t xml:space="preserve">  试验日期、试验人员签字及其他。</w:t>
      </w:r>
    </w:p>
    <w:p>
      <w:r>
        <w:rPr>
          <w:rFonts w:hint="eastAsia"/>
          <w:b/>
        </w:rPr>
        <w:t>E.0.</w:t>
      </w:r>
      <w:r>
        <w:rPr>
          <w:b/>
        </w:rPr>
        <w:t>6</w:t>
      </w:r>
      <w:r>
        <w:t xml:space="preserve">  </w:t>
      </w:r>
      <w:r>
        <w:rPr>
          <w:rFonts w:hint="eastAsia"/>
        </w:rPr>
        <w:t>冲击试验完成后，墙体出现下列情况之一的，应判为不合格：</w:t>
      </w:r>
    </w:p>
    <w:p>
      <w:pPr>
        <w:ind w:firstLine="314" w:firstLineChars="149"/>
      </w:pPr>
      <w:r>
        <w:rPr>
          <w:b/>
        </w:rPr>
        <w:t xml:space="preserve">1 </w:t>
      </w:r>
      <w:r>
        <w:t xml:space="preserve"> </w:t>
      </w:r>
      <w:r>
        <w:rPr>
          <w:rFonts w:hint="eastAsia"/>
        </w:rPr>
        <w:t>板面出现肉眼可见裂缝；</w:t>
      </w:r>
    </w:p>
    <w:p>
      <w:pPr>
        <w:ind w:firstLine="310" w:firstLineChars="147"/>
      </w:pPr>
      <w:r>
        <w:rPr>
          <w:rFonts w:hint="eastAsia"/>
          <w:b/>
        </w:rPr>
        <w:t>2</w:t>
      </w:r>
      <w:r>
        <w:rPr>
          <w:b/>
        </w:rPr>
        <w:t xml:space="preserve"> </w:t>
      </w:r>
      <w:r>
        <w:t xml:space="preserve"> </w:t>
      </w:r>
      <w:r>
        <w:rPr>
          <w:rFonts w:hint="eastAsia"/>
        </w:rPr>
        <w:t>板连接处出现明显变位；</w:t>
      </w:r>
    </w:p>
    <w:p>
      <w:pPr>
        <w:ind w:firstLine="310" w:firstLineChars="147"/>
      </w:pPr>
      <w:r>
        <w:rPr>
          <w:rFonts w:hint="eastAsia"/>
          <w:b/>
        </w:rPr>
        <w:t>3</w:t>
      </w:r>
      <w:r>
        <w:rPr>
          <w:rFonts w:hint="eastAsia"/>
        </w:rPr>
        <w:t xml:space="preserve">  最大残余变形超过1mm。</w:t>
      </w:r>
    </w:p>
    <w:p>
      <w:pPr>
        <w:sectPr>
          <w:pgSz w:w="7938" w:h="11510"/>
          <w:pgMar w:top="1083" w:right="1009" w:bottom="1083" w:left="1009" w:header="851" w:footer="992" w:gutter="0"/>
          <w:cols w:space="425" w:num="1"/>
          <w:docGrid w:type="lines" w:linePitch="312" w:charSpace="0"/>
        </w:sectPr>
      </w:pPr>
    </w:p>
    <w:bookmarkEnd w:id="292"/>
    <w:bookmarkEnd w:id="293"/>
    <w:bookmarkEnd w:id="294"/>
    <w:bookmarkEnd w:id="295"/>
    <w:bookmarkEnd w:id="296"/>
    <w:bookmarkEnd w:id="297"/>
    <w:bookmarkEnd w:id="298"/>
    <w:bookmarkEnd w:id="299"/>
    <w:p>
      <w:pPr>
        <w:pStyle w:val="2"/>
      </w:pPr>
      <w:bookmarkStart w:id="338" w:name="_Toc12886324"/>
      <w:bookmarkStart w:id="339" w:name="_Toc523216215"/>
      <w:bookmarkStart w:id="340" w:name="_Toc17273675"/>
      <w:bookmarkStart w:id="341" w:name="_Toc521495147"/>
      <w:bookmarkStart w:id="342" w:name="_Toc522627961"/>
      <w:bookmarkStart w:id="343" w:name="_Toc12959546"/>
      <w:bookmarkStart w:id="344" w:name="_Toc6318091"/>
      <w:bookmarkStart w:id="345" w:name="_Toc521503679"/>
      <w:bookmarkStart w:id="346" w:name="_Toc523216673"/>
      <w:bookmarkStart w:id="347" w:name="_Toc8736852"/>
      <w:bookmarkStart w:id="348" w:name="_Toc6325072"/>
      <w:bookmarkStart w:id="349" w:name="_Toc515373894"/>
      <w:bookmarkStart w:id="350" w:name="_Toc515287990"/>
      <w:r>
        <w:rPr>
          <w:rFonts w:hint="eastAsia"/>
        </w:rPr>
        <w:t>附录F</w:t>
      </w:r>
      <w:r>
        <w:t xml:space="preserve">  </w:t>
      </w:r>
      <w:r>
        <w:rPr>
          <w:rFonts w:hint="eastAsia"/>
        </w:rPr>
        <w:t>淋水试验</w:t>
      </w:r>
      <w:bookmarkEnd w:id="338"/>
      <w:bookmarkEnd w:id="339"/>
      <w:bookmarkEnd w:id="340"/>
      <w:bookmarkEnd w:id="341"/>
      <w:bookmarkEnd w:id="342"/>
      <w:bookmarkEnd w:id="343"/>
      <w:bookmarkEnd w:id="344"/>
      <w:bookmarkEnd w:id="345"/>
      <w:bookmarkEnd w:id="346"/>
      <w:bookmarkEnd w:id="347"/>
      <w:bookmarkEnd w:id="348"/>
      <w:r>
        <w:fldChar w:fldCharType="begin"/>
      </w:r>
      <w:r>
        <w:instrText xml:space="preserve"> </w:instrText>
      </w:r>
      <w:r>
        <w:rPr>
          <w:rFonts w:hint="eastAsia"/>
        </w:rPr>
        <w:instrText xml:space="preserve">TC  "</w:instrText>
      </w:r>
      <w:bookmarkStart w:id="351" w:name="_Toc521916162"/>
      <w:bookmarkStart w:id="352" w:name="_Toc17274714"/>
      <w:r>
        <w:rPr>
          <w:rFonts w:hint="eastAsia"/>
        </w:rPr>
        <w:instrText xml:space="preserve">Appendix </w:instrText>
      </w:r>
      <w:r>
        <w:instrText xml:space="preserve">F  </w:instrText>
      </w:r>
      <w:r>
        <w:rPr>
          <w:rFonts w:hint="eastAsia"/>
        </w:rPr>
        <w:instrText xml:space="preserve">Water</w:instrText>
      </w:r>
      <w:r>
        <w:instrText xml:space="preserve"> </w:instrText>
      </w:r>
      <w:r>
        <w:rPr>
          <w:rFonts w:hint="eastAsia"/>
        </w:rPr>
        <w:instrText xml:space="preserve">Pou</w:instrText>
      </w:r>
      <w:r>
        <w:instrText xml:space="preserve">r</w:instrText>
      </w:r>
      <w:r>
        <w:rPr>
          <w:rFonts w:hint="eastAsia"/>
        </w:rPr>
        <w:instrText xml:space="preserve">ing</w:instrText>
      </w:r>
      <w:r>
        <w:instrText xml:space="preserve"> </w:instrText>
      </w:r>
      <w:r>
        <w:rPr>
          <w:rFonts w:hint="eastAsia"/>
        </w:rPr>
        <w:instrText xml:space="preserve">Test</w:instrText>
      </w:r>
      <w:bookmarkEnd w:id="351"/>
      <w:bookmarkEnd w:id="352"/>
      <w:r>
        <w:rPr>
          <w:rFonts w:hint="eastAsia"/>
        </w:rPr>
        <w:instrText xml:space="preserve">" \l 1</w:instrText>
      </w:r>
      <w:r>
        <w:instrText xml:space="preserve"> </w:instrText>
      </w:r>
      <w:r>
        <w:fldChar w:fldCharType="end"/>
      </w:r>
    </w:p>
    <w:p>
      <w:pPr>
        <w:rPr>
          <w:bCs/>
        </w:rPr>
      </w:pPr>
      <w:r>
        <w:rPr>
          <w:rFonts w:hint="eastAsia"/>
          <w:b/>
        </w:rPr>
        <w:t>F.0.1</w:t>
      </w:r>
      <w:r>
        <w:rPr>
          <w:rFonts w:hint="eastAsia"/>
          <w:bCs/>
        </w:rPr>
        <w:t xml:space="preserve">  淋水部位应包括外墙、门窗、幕墙、玻璃与墙体未脱开的玻璃天窗、雨棚等。外墙墙板接缝处、窗框周边、空调板、外墙脚手架洞口为重点试验部位。</w:t>
      </w:r>
    </w:p>
    <w:p>
      <w:pPr>
        <w:rPr>
          <w:bCs/>
        </w:rPr>
      </w:pPr>
      <w:r>
        <w:rPr>
          <w:rFonts w:hint="eastAsia"/>
          <w:b/>
        </w:rPr>
        <w:t>F.0.2</w:t>
      </w:r>
      <w:r>
        <w:rPr>
          <w:rFonts w:hint="eastAsia"/>
          <w:bCs/>
        </w:rPr>
        <w:t xml:space="preserve">  淋水前应对窗边等重点部位进行射水试验，射水持续时间可根据工程实际情况确定。对于渗漏点整改后的检查，也可采用高强度射水试验。</w:t>
      </w:r>
    </w:p>
    <w:p>
      <w:pPr>
        <w:rPr>
          <w:bCs/>
        </w:rPr>
      </w:pPr>
      <w:r>
        <w:rPr>
          <w:rFonts w:hint="eastAsia"/>
          <w:b/>
        </w:rPr>
        <w:t>F.0.3</w:t>
      </w:r>
      <w:r>
        <w:rPr>
          <w:rFonts w:hint="eastAsia"/>
          <w:bCs/>
        </w:rPr>
        <w:t xml:space="preserve">  淋水设备应符合下列规定：</w:t>
      </w:r>
    </w:p>
    <w:p>
      <w:pPr>
        <w:ind w:firstLine="316" w:firstLineChars="150"/>
        <w:rPr>
          <w:bCs/>
        </w:rPr>
      </w:pPr>
      <w:r>
        <w:rPr>
          <w:rFonts w:hint="eastAsia"/>
          <w:b/>
        </w:rPr>
        <w:t>1</w:t>
      </w:r>
      <w:r>
        <w:rPr>
          <w:rFonts w:hint="eastAsia"/>
          <w:bCs/>
        </w:rPr>
        <w:t xml:space="preserve">  根据工程项目的高度和布管的情况选定加压水泵，确保最不利点的水压和水量达到要求；水压不够时应采用加压措施，保证试验正常进行。</w:t>
      </w:r>
    </w:p>
    <w:p>
      <w:pPr>
        <w:ind w:firstLine="316" w:firstLineChars="150"/>
        <w:rPr>
          <w:bCs/>
        </w:rPr>
      </w:pPr>
      <w:r>
        <w:rPr>
          <w:rFonts w:hint="eastAsia"/>
          <w:b/>
        </w:rPr>
        <w:t>2</w:t>
      </w:r>
      <w:r>
        <w:rPr>
          <w:rFonts w:hint="eastAsia"/>
          <w:bCs/>
        </w:rPr>
        <w:t xml:space="preserve">  水箱容量应根据淋水量大小而定，可单独配置，也可利用现有施工水箱或生活（消防）水箱。</w:t>
      </w:r>
    </w:p>
    <w:p>
      <w:pPr>
        <w:ind w:firstLine="316" w:firstLineChars="150"/>
        <w:rPr>
          <w:bCs/>
        </w:rPr>
      </w:pPr>
      <w:r>
        <w:rPr>
          <w:rFonts w:hint="eastAsia"/>
          <w:b/>
        </w:rPr>
        <w:t xml:space="preserve">3 </w:t>
      </w:r>
      <w:r>
        <w:rPr>
          <w:rFonts w:hint="eastAsia"/>
          <w:bCs/>
        </w:rPr>
        <w:t xml:space="preserve"> 供水管及淋水管</w:t>
      </w:r>
    </w:p>
    <w:p>
      <w:pPr>
        <w:ind w:firstLine="632" w:firstLineChars="300"/>
        <w:rPr>
          <w:bCs/>
        </w:rPr>
      </w:pPr>
      <w:r>
        <w:rPr>
          <w:rFonts w:hint="eastAsia"/>
          <w:b/>
        </w:rPr>
        <w:t>1</w:t>
      </w:r>
      <w:r>
        <w:rPr>
          <w:rFonts w:hint="eastAsia"/>
          <w:bCs/>
        </w:rPr>
        <w:t>）根据淋水量选定供水主管和支管管径。淋水管宜采用DN25管材，淋水管钻孔直径宜为3.0mm，孔间距宜控制在50~80mm。</w:t>
      </w:r>
    </w:p>
    <w:p>
      <w:pPr>
        <w:ind w:firstLine="632" w:firstLineChars="300"/>
        <w:rPr>
          <w:bCs/>
        </w:rPr>
      </w:pPr>
      <w:r>
        <w:rPr>
          <w:rFonts w:hint="eastAsia"/>
          <w:b/>
        </w:rPr>
        <w:t>2</w:t>
      </w:r>
      <w:r>
        <w:rPr>
          <w:rFonts w:hint="eastAsia"/>
          <w:bCs/>
        </w:rPr>
        <w:t>）支管应设置阀门控制供水量及水压，支管所接淋水管不宜超过两根，水压应控制在0.1~0.6MPa。</w:t>
      </w:r>
    </w:p>
    <w:p>
      <w:pPr>
        <w:ind w:firstLine="632" w:firstLineChars="300"/>
        <w:rPr>
          <w:bCs/>
        </w:rPr>
      </w:pPr>
      <w:r>
        <w:rPr>
          <w:rFonts w:hint="eastAsia"/>
          <w:b/>
        </w:rPr>
        <w:t>3</w:t>
      </w:r>
      <w:r>
        <w:rPr>
          <w:rFonts w:hint="eastAsia"/>
          <w:bCs/>
        </w:rPr>
        <w:t>）支管和淋水管安装应稳固可靠。</w:t>
      </w:r>
    </w:p>
    <w:p>
      <w:pPr>
        <w:ind w:firstLine="316" w:firstLineChars="150"/>
        <w:rPr>
          <w:bCs/>
        </w:rPr>
      </w:pPr>
      <w:r>
        <w:rPr>
          <w:rFonts w:hint="eastAsia"/>
          <w:b/>
        </w:rPr>
        <w:t>4</w:t>
      </w:r>
      <w:r>
        <w:rPr>
          <w:rFonts w:hint="eastAsia"/>
          <w:bCs/>
        </w:rPr>
        <w:t xml:space="preserve">  水加压设备应设置漏电保护装置。</w:t>
      </w:r>
    </w:p>
    <w:p>
      <w:pPr>
        <w:rPr>
          <w:bCs/>
        </w:rPr>
      </w:pPr>
      <w:r>
        <w:rPr>
          <w:rFonts w:hint="eastAsia"/>
          <w:b/>
        </w:rPr>
        <w:t>F.0.4</w:t>
      </w:r>
      <w:r>
        <w:rPr>
          <w:rFonts w:hint="eastAsia"/>
          <w:bCs/>
        </w:rPr>
        <w:t xml:space="preserve">  布管应符合下列规定：</w:t>
      </w:r>
    </w:p>
    <w:p>
      <w:pPr>
        <w:ind w:firstLine="316" w:firstLineChars="150"/>
        <w:rPr>
          <w:bCs/>
        </w:rPr>
      </w:pPr>
      <w:r>
        <w:rPr>
          <w:rFonts w:hint="eastAsia"/>
          <w:b/>
        </w:rPr>
        <w:t>1</w:t>
      </w:r>
      <w:r>
        <w:rPr>
          <w:rFonts w:hint="eastAsia"/>
          <w:bCs/>
        </w:rPr>
        <w:t xml:space="preserve">  供水主管和支管宜布置在阳台附近。</w:t>
      </w:r>
    </w:p>
    <w:p>
      <w:pPr>
        <w:ind w:firstLine="316" w:firstLineChars="150"/>
        <w:rPr>
          <w:bCs/>
        </w:rPr>
      </w:pPr>
      <w:r>
        <w:rPr>
          <w:rFonts w:hint="eastAsia"/>
          <w:b/>
        </w:rPr>
        <w:t xml:space="preserve">2 </w:t>
      </w:r>
      <w:r>
        <w:rPr>
          <w:rFonts w:hint="eastAsia"/>
          <w:bCs/>
        </w:rPr>
        <w:t xml:space="preserve"> 淋水管应置于淋水段外墙顶部，淋水管与窗或墙面距离控制在100~150mm，可在被检面形成连续水幕。</w:t>
      </w:r>
    </w:p>
    <w:p>
      <w:pPr>
        <w:ind w:firstLine="316" w:firstLineChars="150"/>
        <w:rPr>
          <w:bCs/>
        </w:rPr>
      </w:pPr>
      <w:r>
        <w:rPr>
          <w:rFonts w:hint="eastAsia"/>
          <w:b/>
        </w:rPr>
        <w:t>3</w:t>
      </w:r>
      <w:r>
        <w:rPr>
          <w:rFonts w:hint="eastAsia"/>
          <w:bCs/>
        </w:rPr>
        <w:t xml:space="preserve">  建筑层数不超过4层可划分为一个淋水段；5层以上可从上而下每3~4层划分一个淋水段。阳台处淋水管可断开，若立面有横向断开线条，则应根据所在线条位置分段布管。</w:t>
      </w:r>
    </w:p>
    <w:p>
      <w:pPr>
        <w:rPr>
          <w:bCs/>
        </w:rPr>
      </w:pPr>
      <w:r>
        <w:rPr>
          <w:rFonts w:hint="eastAsia"/>
          <w:b/>
        </w:rPr>
        <w:t>F.0.5</w:t>
      </w:r>
      <w:r>
        <w:rPr>
          <w:rFonts w:hint="eastAsia"/>
          <w:bCs/>
        </w:rPr>
        <w:t xml:space="preserve">  试验情况检查记录时间应至少包括试验开始后4、8、12小时三次，检查出的渗漏点应标识记录。</w:t>
      </w:r>
    </w:p>
    <w:p>
      <w:pPr>
        <w:rPr>
          <w:bCs/>
        </w:rPr>
      </w:pPr>
      <w:r>
        <w:rPr>
          <w:rFonts w:hint="eastAsia"/>
          <w:b/>
        </w:rPr>
        <w:t>F.0.6</w:t>
      </w:r>
      <w:r>
        <w:rPr>
          <w:rFonts w:hint="eastAsia"/>
          <w:bCs/>
        </w:rPr>
        <w:t xml:space="preserve">  外墙防水性能验收：试验开始12小时后，淋水面内侧未出现水渍现象，可判定合格。</w:t>
      </w:r>
    </w:p>
    <w:p>
      <w:pPr>
        <w:rPr>
          <w:bCs/>
        </w:rPr>
      </w:pPr>
      <w:r>
        <w:rPr>
          <w:rFonts w:hint="eastAsia"/>
          <w:b/>
        </w:rPr>
        <w:t>F.0.7</w:t>
      </w:r>
      <w:r>
        <w:rPr>
          <w:rFonts w:hint="eastAsia"/>
          <w:bCs/>
        </w:rPr>
        <w:t xml:space="preserve">  淋水试验报告至少应包括以下内容：</w:t>
      </w:r>
    </w:p>
    <w:p>
      <w:pPr>
        <w:ind w:firstLine="316" w:firstLineChars="150"/>
        <w:rPr>
          <w:bCs/>
        </w:rPr>
      </w:pPr>
      <w:r>
        <w:rPr>
          <w:rFonts w:hint="eastAsia"/>
          <w:b/>
        </w:rPr>
        <w:t>1</w:t>
      </w:r>
      <w:r>
        <w:rPr>
          <w:rFonts w:hint="eastAsia"/>
          <w:bCs/>
        </w:rPr>
        <w:t xml:space="preserve">  外墙淋水方案；</w:t>
      </w:r>
    </w:p>
    <w:p>
      <w:pPr>
        <w:ind w:firstLine="316" w:firstLineChars="150"/>
        <w:rPr>
          <w:bCs/>
        </w:rPr>
      </w:pPr>
      <w:r>
        <w:rPr>
          <w:rFonts w:hint="eastAsia"/>
          <w:b/>
        </w:rPr>
        <w:t>2</w:t>
      </w:r>
      <w:r>
        <w:rPr>
          <w:rFonts w:hint="eastAsia"/>
          <w:bCs/>
        </w:rPr>
        <w:t xml:space="preserve">  射水记录、外墙淋水试验情况记录表及关键过程记录；</w:t>
      </w:r>
    </w:p>
    <w:p>
      <w:pPr>
        <w:ind w:firstLine="316" w:firstLineChars="150"/>
        <w:rPr>
          <w:bCs/>
        </w:rPr>
      </w:pPr>
      <w:r>
        <w:rPr>
          <w:rFonts w:hint="eastAsia"/>
          <w:b/>
        </w:rPr>
        <w:t>3</w:t>
      </w:r>
      <w:r>
        <w:rPr>
          <w:rFonts w:hint="eastAsia"/>
          <w:bCs/>
        </w:rPr>
        <w:t xml:space="preserve">  渗漏整改方案及措施；</w:t>
      </w:r>
    </w:p>
    <w:p>
      <w:pPr>
        <w:ind w:firstLine="316" w:firstLineChars="150"/>
      </w:pPr>
      <w:r>
        <w:rPr>
          <w:rFonts w:hint="eastAsia"/>
          <w:b/>
        </w:rPr>
        <w:t>4</w:t>
      </w:r>
      <w:r>
        <w:rPr>
          <w:rFonts w:hint="eastAsia"/>
          <w:bCs/>
        </w:rPr>
        <w:t xml:space="preserve">  试验电子影像资料</w:t>
      </w:r>
      <w:r>
        <w:rPr>
          <w:rFonts w:hint="eastAsia"/>
        </w:rPr>
        <w:t>。</w:t>
      </w:r>
    </w:p>
    <w:p>
      <w:pPr>
        <w:spacing w:line="240" w:lineRule="auto"/>
        <w:rPr>
          <w:rFonts w:ascii="宋体" w:hAnsi="宋体"/>
          <w:sz w:val="15"/>
          <w:szCs w:val="15"/>
        </w:rPr>
        <w:sectPr>
          <w:pgSz w:w="7938" w:h="11510"/>
          <w:pgMar w:top="1083" w:right="1009" w:bottom="1083" w:left="1009" w:header="851" w:footer="992" w:gutter="0"/>
          <w:cols w:space="425" w:num="1"/>
          <w:docGrid w:type="lines" w:linePitch="312" w:charSpace="0"/>
        </w:sectPr>
      </w:pPr>
    </w:p>
    <w:p>
      <w:pPr>
        <w:pStyle w:val="2"/>
      </w:pPr>
      <w:bookmarkStart w:id="353" w:name="_Toc17273676"/>
      <w:bookmarkStart w:id="354" w:name="_Toc12959547"/>
      <w:bookmarkStart w:id="355" w:name="_Toc12886325"/>
      <w:r>
        <w:rPr>
          <w:rFonts w:hint="eastAsia"/>
        </w:rPr>
        <w:t>附录G</w:t>
      </w:r>
      <w:r>
        <w:t xml:space="preserve">  </w:t>
      </w:r>
      <w:r>
        <w:rPr>
          <w:rFonts w:hint="eastAsia"/>
        </w:rPr>
        <w:t>平行构件法</w:t>
      </w:r>
      <w:bookmarkEnd w:id="353"/>
      <w:bookmarkEnd w:id="354"/>
      <w:bookmarkEnd w:id="355"/>
      <w:r>
        <w:fldChar w:fldCharType="begin"/>
      </w:r>
      <w:r>
        <w:instrText xml:space="preserve"> </w:instrText>
      </w:r>
      <w:r>
        <w:rPr>
          <w:rFonts w:hint="eastAsia"/>
        </w:rPr>
        <w:instrText xml:space="preserve">TC  "</w:instrText>
      </w:r>
      <w:bookmarkStart w:id="356" w:name="_Toc17274715"/>
      <w:r>
        <w:rPr>
          <w:rFonts w:hint="eastAsia"/>
        </w:rPr>
        <w:instrText xml:space="preserve">Appendix G </w:instrText>
      </w:r>
      <w:r>
        <w:instrText xml:space="preserve"> </w:instrText>
      </w:r>
      <w:r>
        <w:rPr>
          <w:rFonts w:hint="eastAsia"/>
        </w:rPr>
        <w:instrText xml:space="preserve">Parallel Member Method</w:instrText>
      </w:r>
      <w:bookmarkEnd w:id="356"/>
      <w:r>
        <w:rPr>
          <w:rFonts w:hint="eastAsia"/>
        </w:rPr>
        <w:instrText xml:space="preserve">" \l 1</w:instrText>
      </w:r>
      <w:r>
        <w:instrText xml:space="preserve"> </w:instrText>
      </w:r>
      <w:r>
        <w:fldChar w:fldCharType="end"/>
      </w:r>
    </w:p>
    <w:p>
      <w:r>
        <w:rPr>
          <w:rFonts w:hint="eastAsia"/>
          <w:b/>
          <w:bCs/>
        </w:rPr>
        <w:t>G.0.1</w:t>
      </w:r>
      <w:r>
        <w:rPr>
          <w:b/>
          <w:bCs/>
        </w:rPr>
        <w:t xml:space="preserve">  </w:t>
      </w:r>
      <w:r>
        <w:rPr>
          <w:rFonts w:hint="eastAsia"/>
        </w:rPr>
        <w:t>本方法适用于现场制作灌浆套筒平行试件，以及检查座浆及分仓的浇筑质量。</w:t>
      </w:r>
    </w:p>
    <w:p>
      <w:r>
        <w:rPr>
          <w:rFonts w:hint="eastAsia"/>
          <w:b/>
          <w:bCs/>
        </w:rPr>
        <w:t>G.0.2</w:t>
      </w:r>
      <w:r>
        <w:rPr>
          <w:b/>
          <w:bCs/>
        </w:rPr>
        <w:t xml:space="preserve">  </w:t>
      </w:r>
      <w:r>
        <w:rPr>
          <w:rFonts w:hint="eastAsia"/>
        </w:rPr>
        <w:t>平行构件装置应符合下列规定：</w:t>
      </w:r>
    </w:p>
    <w:p>
      <w:pPr>
        <w:ind w:firstLine="316" w:firstLineChars="150"/>
      </w:pPr>
      <w:r>
        <w:rPr>
          <w:b/>
          <w:bCs/>
        </w:rPr>
        <w:t>1</w:t>
      </w:r>
      <w:r>
        <w:t xml:space="preserve">  </w:t>
      </w:r>
      <w:r>
        <w:rPr>
          <w:rFonts w:hint="eastAsia"/>
        </w:rPr>
        <w:t>箱体顶端开放，箱底设置套筒固定孔，使用时，箱内可填充细砂石用以稳定套筒。</w:t>
      </w:r>
    </w:p>
    <w:p>
      <w:pPr>
        <w:ind w:firstLine="316" w:firstLineChars="150"/>
      </w:pPr>
      <w:r>
        <w:rPr>
          <w:b/>
          <w:bCs/>
        </w:rPr>
        <w:t>2</w:t>
      </w:r>
      <w:r>
        <w:t xml:space="preserve">  </w:t>
      </w:r>
      <w:r>
        <w:rPr>
          <w:rFonts w:hint="eastAsia"/>
        </w:rPr>
        <w:t>箱体侧面应设置灌浆孔和出浆孔，可通过导浆管分别与套筒上的灌浆口和出浆孔相连接；箱体设置多个灌浆孔时，应位于靠近底板侧且分布均匀，设置多个出浆孔时，应位于远离底板侧且分布均匀。</w:t>
      </w:r>
    </w:p>
    <w:p>
      <w:pPr>
        <w:ind w:firstLine="316" w:firstLineChars="150"/>
      </w:pPr>
      <w:r>
        <w:rPr>
          <w:b/>
          <w:bCs/>
        </w:rPr>
        <w:t>3</w:t>
      </w:r>
      <w:r>
        <w:t xml:space="preserve">  </w:t>
      </w:r>
      <w:r>
        <w:rPr>
          <w:rFonts w:hint="eastAsia"/>
        </w:rPr>
        <w:t>上部钢筋直接插入对应套筒，其伸入长度及外露长度应符合设计要求。下部钢筋穿过底板橡胶圈塞插入对应套筒，其位于底板橡胶圈塞上下两端的外露长度应符合力学试验的要求。</w:t>
      </w:r>
    </w:p>
    <w:p>
      <w:pPr>
        <w:ind w:firstLine="316" w:firstLineChars="150"/>
      </w:pPr>
      <w:r>
        <w:rPr>
          <w:b/>
          <w:bCs/>
        </w:rPr>
        <w:t>4</w:t>
      </w:r>
      <w:r>
        <w:t xml:space="preserve">  </w:t>
      </w:r>
      <w:r>
        <w:rPr>
          <w:rFonts w:hint="eastAsia"/>
        </w:rPr>
        <w:t>底板面积应大于箱体底面面积，并与箱体间设置垫块。</w:t>
      </w:r>
    </w:p>
    <w:p>
      <w:bookmarkStart w:id="357" w:name="_Hlk11942705"/>
      <w:r>
        <w:rPr>
          <w:rFonts w:hint="eastAsia"/>
          <w:b/>
          <w:bCs/>
        </w:rPr>
        <w:t>G.0.3</w:t>
      </w:r>
      <w:r>
        <w:t xml:space="preserve">  </w:t>
      </w:r>
      <w:r>
        <w:rPr>
          <w:rFonts w:hint="eastAsia"/>
        </w:rPr>
        <w:t>使用平行构件法</w:t>
      </w:r>
      <w:bookmarkStart w:id="358" w:name="_Hlk12870400"/>
      <w:r>
        <w:rPr>
          <w:rFonts w:hint="eastAsia"/>
        </w:rPr>
        <w:t>制作灌浆套筒平行试件及检查座浆浇筑质量</w:t>
      </w:r>
      <w:bookmarkEnd w:id="358"/>
      <w:r>
        <w:rPr>
          <w:rFonts w:hint="eastAsia"/>
        </w:rPr>
        <w:t>，装置安装及试验过程应符合下列规定：</w:t>
      </w:r>
    </w:p>
    <w:bookmarkEnd w:id="357"/>
    <w:p>
      <w:pPr>
        <w:ind w:firstLine="316" w:firstLineChars="150"/>
      </w:pPr>
      <w:bookmarkStart w:id="359" w:name="_Hlk12009990"/>
      <w:r>
        <w:rPr>
          <w:b/>
          <w:bCs/>
        </w:rPr>
        <w:t>1</w:t>
      </w:r>
      <w:r>
        <w:t xml:space="preserve">  </w:t>
      </w:r>
      <w:r>
        <w:rPr>
          <w:rFonts w:hint="eastAsia"/>
        </w:rPr>
        <w:t>安装套筒</w:t>
      </w:r>
    </w:p>
    <w:p>
      <w:pPr>
        <w:ind w:firstLine="315" w:firstLineChars="150"/>
      </w:pPr>
      <w:r>
        <w:rPr>
          <w:rFonts w:hint="eastAsia"/>
        </w:rPr>
        <w:t>将套筒装于箱内，使用导浆管分别连接套筒灌浆口与箱体侧面灌浆孔、套筒出浆口与箱体侧面出浆孔，完成连接后箱内填充细砂石</w:t>
      </w:r>
      <w:bookmarkEnd w:id="359"/>
      <w:r>
        <w:rPr>
          <w:rFonts w:hint="eastAsia"/>
        </w:rPr>
        <w:t>。</w:t>
      </w:r>
    </w:p>
    <w:p>
      <w:pPr>
        <w:ind w:firstLine="316" w:firstLineChars="150"/>
        <w:rPr>
          <w:b/>
          <w:bCs/>
        </w:rPr>
      </w:pPr>
      <w:r>
        <w:rPr>
          <w:rFonts w:hint="eastAsia"/>
          <w:b/>
          <w:bCs/>
        </w:rPr>
        <w:t>2</w:t>
      </w:r>
      <w:r>
        <w:rPr>
          <w:b/>
          <w:bCs/>
        </w:rPr>
        <w:t xml:space="preserve">  </w:t>
      </w:r>
      <w:r>
        <w:rPr>
          <w:rFonts w:hint="eastAsia"/>
        </w:rPr>
        <w:t>安装钢筋</w:t>
      </w:r>
    </w:p>
    <w:p>
      <w:pPr>
        <w:ind w:firstLine="315" w:firstLineChars="150"/>
      </w:pPr>
      <w:r>
        <w:rPr>
          <w:rFonts w:hint="eastAsia"/>
        </w:rPr>
        <w:t>上部钢筋插入对应套筒，下部钢筋穿过底板橡胶圈。</w:t>
      </w:r>
    </w:p>
    <w:p>
      <w:pPr>
        <w:ind w:firstLine="316" w:firstLineChars="150"/>
      </w:pPr>
      <w:r>
        <w:rPr>
          <w:b/>
          <w:bCs/>
        </w:rPr>
        <w:t>3</w:t>
      </w:r>
      <w:r>
        <w:t xml:space="preserve">  </w:t>
      </w:r>
      <w:r>
        <w:rPr>
          <w:rFonts w:hint="eastAsia"/>
        </w:rPr>
        <w:t>铺设座浆料</w:t>
      </w:r>
    </w:p>
    <w:p>
      <w:pPr>
        <w:ind w:firstLine="315" w:firstLineChars="150"/>
      </w:pPr>
      <w:r>
        <w:rPr>
          <w:rFonts w:hint="eastAsia"/>
        </w:rPr>
        <w:t>根据实际施工情况，于底板面均匀浇筑座浆料。</w:t>
      </w:r>
    </w:p>
    <w:p>
      <w:pPr>
        <w:ind w:firstLine="316" w:firstLineChars="150"/>
      </w:pPr>
      <w:r>
        <w:rPr>
          <w:b/>
          <w:bCs/>
        </w:rPr>
        <w:t xml:space="preserve">4 </w:t>
      </w:r>
      <w:r>
        <w:t xml:space="preserve"> </w:t>
      </w:r>
      <w:r>
        <w:rPr>
          <w:rFonts w:hint="eastAsia"/>
        </w:rPr>
        <w:t>安装箱体</w:t>
      </w:r>
    </w:p>
    <w:p>
      <w:pPr>
        <w:ind w:firstLine="315" w:firstLineChars="150"/>
      </w:pPr>
      <w:r>
        <w:rPr>
          <w:rFonts w:hint="eastAsia"/>
        </w:rPr>
        <w:t>缓慢落下箱体，使下部钢筋插入对应套筒内，按压箱体挤出多余座浆料，保证箱体水平置于垫块上。</w:t>
      </w:r>
    </w:p>
    <w:p>
      <w:pPr>
        <w:ind w:firstLine="316" w:firstLineChars="150"/>
      </w:pPr>
      <w:r>
        <w:rPr>
          <w:b/>
          <w:bCs/>
        </w:rPr>
        <w:t>5</w:t>
      </w:r>
      <w:r>
        <w:t xml:space="preserve">  </w:t>
      </w:r>
      <w:r>
        <w:rPr>
          <w:rFonts w:hint="eastAsia"/>
        </w:rPr>
        <w:t>灌浆</w:t>
      </w:r>
    </w:p>
    <w:p>
      <w:pPr>
        <w:ind w:firstLine="315" w:firstLineChars="150"/>
      </w:pPr>
      <w:r>
        <w:rPr>
          <w:rFonts w:hint="eastAsia"/>
        </w:rPr>
        <w:t>对套筒进行灌浆，待灌浆料从出浆孔溢出后，使用胶塞堵住灌浆孔和出浆孔，停止灌浆。</w:t>
      </w:r>
    </w:p>
    <w:p>
      <w:pPr>
        <w:ind w:firstLine="316" w:firstLineChars="150"/>
      </w:pPr>
      <w:r>
        <w:rPr>
          <w:b/>
          <w:bCs/>
        </w:rPr>
        <w:t>6</w:t>
      </w:r>
      <w:r>
        <w:t xml:space="preserve">  </w:t>
      </w:r>
      <w:r>
        <w:rPr>
          <w:rFonts w:hint="eastAsia"/>
        </w:rPr>
        <w:t>检查</w:t>
      </w:r>
    </w:p>
    <w:p>
      <w:pPr>
        <w:ind w:firstLine="315" w:firstLineChars="150"/>
      </w:pPr>
      <w:r>
        <w:rPr>
          <w:rFonts w:hint="eastAsia"/>
        </w:rPr>
        <w:t>待灌浆料凝固成型，分离箱体和底板，倒掉箱内的细砂石，取出灌浆套筒平行试件，并对座浆层浇筑质量和密实度进行检查。</w:t>
      </w:r>
    </w:p>
    <w:p>
      <w:r>
        <w:rPr>
          <w:rFonts w:hint="eastAsia"/>
          <w:b/>
          <w:bCs/>
        </w:rPr>
        <w:t>G.0.</w:t>
      </w:r>
      <w:r>
        <w:rPr>
          <w:b/>
          <w:bCs/>
        </w:rPr>
        <w:t>4</w:t>
      </w:r>
      <w:r>
        <w:rPr>
          <w:rFonts w:hint="eastAsia"/>
        </w:rPr>
        <w:t xml:space="preserve">  使用平行构件法制作灌浆套筒平行试件及检查分仓浇筑质量，试验过程应符合下列规定：</w:t>
      </w:r>
    </w:p>
    <w:p>
      <w:pPr>
        <w:ind w:firstLine="316" w:firstLineChars="150"/>
      </w:pPr>
      <w:r>
        <w:rPr>
          <w:b/>
          <w:bCs/>
        </w:rPr>
        <w:t>1</w:t>
      </w:r>
      <w:r>
        <w:t xml:space="preserve">  </w:t>
      </w:r>
      <w:r>
        <w:rPr>
          <w:rFonts w:hint="eastAsia"/>
        </w:rPr>
        <w:t>安装套筒</w:t>
      </w:r>
    </w:p>
    <w:p>
      <w:pPr>
        <w:ind w:firstLine="315" w:firstLineChars="150"/>
      </w:pPr>
      <w:r>
        <w:rPr>
          <w:rFonts w:hint="eastAsia"/>
        </w:rPr>
        <w:t>将套筒装于箱内，使用导浆管分别连接套筒灌浆口与箱体侧面灌浆孔、套筒出浆口与箱体侧面出浆孔，完成连接后箱内填充细砂石。</w:t>
      </w:r>
    </w:p>
    <w:p>
      <w:pPr>
        <w:ind w:firstLine="316" w:firstLineChars="150"/>
        <w:rPr>
          <w:b/>
          <w:bCs/>
        </w:rPr>
      </w:pPr>
      <w:r>
        <w:rPr>
          <w:rFonts w:hint="eastAsia"/>
          <w:b/>
          <w:bCs/>
        </w:rPr>
        <w:t>2</w:t>
      </w:r>
      <w:r>
        <w:rPr>
          <w:b/>
          <w:bCs/>
        </w:rPr>
        <w:t xml:space="preserve">  </w:t>
      </w:r>
      <w:r>
        <w:rPr>
          <w:rFonts w:hint="eastAsia"/>
        </w:rPr>
        <w:t>安装钢筋</w:t>
      </w:r>
    </w:p>
    <w:p>
      <w:pPr>
        <w:ind w:firstLine="315" w:firstLineChars="150"/>
      </w:pPr>
      <w:r>
        <w:rPr>
          <w:rFonts w:hint="eastAsia"/>
        </w:rPr>
        <w:t>上部钢筋插入对应套筒，下部钢筋穿过底板橡胶圈。</w:t>
      </w:r>
    </w:p>
    <w:p>
      <w:pPr>
        <w:ind w:firstLine="316" w:firstLineChars="150"/>
      </w:pPr>
      <w:r>
        <w:rPr>
          <w:b/>
          <w:bCs/>
        </w:rPr>
        <w:t xml:space="preserve">3  </w:t>
      </w:r>
      <w:r>
        <w:rPr>
          <w:rFonts w:hint="eastAsia"/>
        </w:rPr>
        <w:t>安装箱体</w:t>
      </w:r>
    </w:p>
    <w:p>
      <w:pPr>
        <w:ind w:firstLine="315" w:firstLineChars="150"/>
      </w:pPr>
      <w:r>
        <w:rPr>
          <w:rFonts w:hint="eastAsia"/>
        </w:rPr>
        <w:t>分仓层设置于箱体底面与底板之间用垫块隔开的空间，采用分仓密封材料将分仓层的四周密封，使分仓层形成密闭的空腔；缓慢落下箱体，使下部钢筋插入对应套筒内，保证箱体水平置于垫块上。</w:t>
      </w:r>
    </w:p>
    <w:p>
      <w:pPr>
        <w:ind w:firstLine="316" w:firstLineChars="150"/>
      </w:pPr>
      <w:r>
        <w:rPr>
          <w:rFonts w:hint="eastAsia"/>
          <w:b/>
          <w:bCs/>
        </w:rPr>
        <w:t>4</w:t>
      </w:r>
      <w:r>
        <w:t xml:space="preserve">  </w:t>
      </w:r>
      <w:r>
        <w:rPr>
          <w:rFonts w:hint="eastAsia"/>
        </w:rPr>
        <w:t>灌浆</w:t>
      </w:r>
    </w:p>
    <w:p>
      <w:pPr>
        <w:ind w:firstLine="315" w:firstLineChars="150"/>
      </w:pPr>
      <w:r>
        <w:rPr>
          <w:rFonts w:hint="eastAsia"/>
        </w:rPr>
        <w:t>待分仓密封材料硬化后，任意选择一个灌浆孔对套筒进行灌浆，灌浆料经过分仓层流入其他套筒并在其余灌浆孔和出浆孔处出浆，用胶塞逐一堵住出浆的孔口，至全部孔口均有灌浆料溢出</w:t>
      </w:r>
      <w:bookmarkStart w:id="360" w:name="_Hlk12870063"/>
      <w:r>
        <w:rPr>
          <w:rFonts w:hint="eastAsia"/>
        </w:rPr>
        <w:t>后，停止灌浆</w:t>
      </w:r>
      <w:bookmarkEnd w:id="360"/>
      <w:r>
        <w:rPr>
          <w:rFonts w:hint="eastAsia"/>
        </w:rPr>
        <w:t>。</w:t>
      </w:r>
    </w:p>
    <w:p>
      <w:pPr>
        <w:ind w:firstLine="316" w:firstLineChars="150"/>
      </w:pPr>
      <w:r>
        <w:rPr>
          <w:rFonts w:hint="eastAsia"/>
          <w:b/>
          <w:bCs/>
        </w:rPr>
        <w:t>5</w:t>
      </w:r>
      <w:r>
        <w:t xml:space="preserve">  </w:t>
      </w:r>
      <w:r>
        <w:rPr>
          <w:rFonts w:hint="eastAsia"/>
        </w:rPr>
        <w:t>检查</w:t>
      </w:r>
    </w:p>
    <w:p>
      <w:pPr>
        <w:ind w:firstLine="315" w:firstLineChars="150"/>
      </w:pPr>
      <w:r>
        <w:rPr>
          <w:rFonts w:hint="eastAsia"/>
        </w:rPr>
        <w:t>待灌浆料凝固成型，分离箱体和底板，倒掉箱体内的细石，取出灌浆套筒平行试件，并对分仓层的浇筑质量进行检查。</w:t>
      </w:r>
    </w:p>
    <w:tbl>
      <w:tblPr>
        <w:tblStyle w:val="27"/>
        <w:tblW w:w="61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8"/>
        <w:gridCol w:w="3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068" w:type="dxa"/>
            <w:vAlign w:val="center"/>
          </w:tcPr>
          <w:p>
            <w:pPr>
              <w:spacing w:line="240" w:lineRule="auto"/>
              <w:jc w:val="center"/>
            </w:pPr>
            <w:r>
              <w:drawing>
                <wp:inline distT="0" distB="0" distL="0" distR="0">
                  <wp:extent cx="1539240" cy="1583690"/>
                  <wp:effectExtent l="0" t="0" r="381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39278" cy="1584000"/>
                          </a:xfrm>
                          <a:prstGeom prst="rect">
                            <a:avLst/>
                          </a:prstGeom>
                          <a:noFill/>
                          <a:ln>
                            <a:noFill/>
                          </a:ln>
                        </pic:spPr>
                      </pic:pic>
                    </a:graphicData>
                  </a:graphic>
                </wp:inline>
              </w:drawing>
            </w:r>
          </w:p>
        </w:tc>
        <w:tc>
          <w:tcPr>
            <w:tcW w:w="3068" w:type="dxa"/>
            <w:vAlign w:val="center"/>
          </w:tcPr>
          <w:p>
            <w:pPr>
              <w:spacing w:line="240" w:lineRule="auto"/>
              <w:jc w:val="center"/>
            </w:pPr>
            <w:r>
              <w:drawing>
                <wp:inline distT="0" distB="0" distL="0" distR="0">
                  <wp:extent cx="1539240" cy="1583690"/>
                  <wp:effectExtent l="0" t="0" r="381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39278" cy="1584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jc w:val="center"/>
        </w:trPr>
        <w:tc>
          <w:tcPr>
            <w:tcW w:w="3068" w:type="dxa"/>
            <w:vAlign w:val="center"/>
          </w:tcPr>
          <w:p>
            <w:pPr>
              <w:spacing w:line="240" w:lineRule="auto"/>
              <w:jc w:val="center"/>
            </w:pPr>
            <w:r>
              <w:rPr>
                <w:rFonts w:hint="eastAsia"/>
                <w:sz w:val="18"/>
                <w:szCs w:val="18"/>
              </w:rPr>
              <w:t>（</w:t>
            </w:r>
            <w:r>
              <w:rPr>
                <w:i/>
                <w:iCs/>
                <w:sz w:val="18"/>
                <w:szCs w:val="18"/>
              </w:rPr>
              <w:t>a</w:t>
            </w:r>
            <w:r>
              <w:rPr>
                <w:rFonts w:hint="eastAsia"/>
                <w:sz w:val="18"/>
                <w:szCs w:val="18"/>
              </w:rPr>
              <w:t>）</w:t>
            </w:r>
            <w:bookmarkStart w:id="361" w:name="_Hlk17104117"/>
            <w:r>
              <w:rPr>
                <w:rFonts w:hint="eastAsia"/>
                <w:sz w:val="18"/>
                <w:szCs w:val="18"/>
              </w:rPr>
              <w:t>座浆法</w:t>
            </w:r>
            <w:bookmarkEnd w:id="361"/>
          </w:p>
        </w:tc>
        <w:tc>
          <w:tcPr>
            <w:tcW w:w="3068" w:type="dxa"/>
            <w:vAlign w:val="center"/>
          </w:tcPr>
          <w:p>
            <w:pPr>
              <w:spacing w:line="240" w:lineRule="auto"/>
              <w:jc w:val="center"/>
            </w:pPr>
            <w:r>
              <w:rPr>
                <w:rFonts w:hint="eastAsia"/>
                <w:sz w:val="18"/>
                <w:szCs w:val="18"/>
              </w:rPr>
              <w:t>（</w:t>
            </w:r>
            <w:r>
              <w:rPr>
                <w:i/>
                <w:iCs/>
                <w:sz w:val="18"/>
                <w:szCs w:val="18"/>
              </w:rPr>
              <w:t>b</w:t>
            </w:r>
            <w:r>
              <w:rPr>
                <w:rFonts w:hint="eastAsia"/>
                <w:sz w:val="18"/>
                <w:szCs w:val="18"/>
              </w:rPr>
              <w:t>）</w:t>
            </w:r>
            <w:bookmarkStart w:id="362" w:name="_Hlk17104126"/>
            <w:r>
              <w:rPr>
                <w:rFonts w:hint="eastAsia"/>
                <w:sz w:val="18"/>
                <w:szCs w:val="18"/>
              </w:rPr>
              <w:t>分仓法</w:t>
            </w:r>
            <w:bookmarkEnd w:id="362"/>
          </w:p>
        </w:tc>
      </w:tr>
    </w:tbl>
    <w:p>
      <w:pPr>
        <w:spacing w:line="240" w:lineRule="auto"/>
        <w:ind w:firstLine="270" w:firstLineChars="150"/>
        <w:jc w:val="center"/>
        <w:rPr>
          <w:sz w:val="18"/>
          <w:szCs w:val="18"/>
        </w:rPr>
      </w:pPr>
      <w:r>
        <w:rPr>
          <w:rFonts w:hint="eastAsia"/>
          <w:sz w:val="18"/>
          <w:szCs w:val="18"/>
        </w:rPr>
        <w:t>图G.0.4</w:t>
      </w:r>
      <w:r>
        <w:rPr>
          <w:sz w:val="18"/>
          <w:szCs w:val="18"/>
        </w:rPr>
        <w:t xml:space="preserve">  </w:t>
      </w:r>
      <w:r>
        <w:rPr>
          <w:rFonts w:hint="eastAsia"/>
          <w:sz w:val="18"/>
          <w:szCs w:val="18"/>
        </w:rPr>
        <w:t>座浆法、分仓法工艺示意图</w:t>
      </w:r>
    </w:p>
    <w:p>
      <w:pPr>
        <w:ind w:firstLine="225" w:firstLineChars="150"/>
        <w:jc w:val="center"/>
        <w:rPr>
          <w:sz w:val="15"/>
          <w:szCs w:val="15"/>
        </w:rPr>
      </w:pPr>
      <w:r>
        <w:rPr>
          <w:rFonts w:hint="eastAsia"/>
          <w:sz w:val="15"/>
          <w:szCs w:val="15"/>
        </w:rPr>
        <w:t>1—上部钢筋；2—细砂；3—胶塞；4—箱体；5—垫块；6—座浆层；7—底板；</w:t>
      </w:r>
    </w:p>
    <w:p>
      <w:pPr>
        <w:ind w:firstLine="225" w:firstLineChars="150"/>
        <w:jc w:val="center"/>
        <w:rPr>
          <w:sz w:val="15"/>
          <w:szCs w:val="15"/>
        </w:rPr>
      </w:pPr>
      <w:r>
        <w:rPr>
          <w:rFonts w:hint="eastAsia"/>
          <w:sz w:val="15"/>
          <w:szCs w:val="15"/>
        </w:rPr>
        <w:t>8—下部钢筋；9—橡胶圈塞；1</w:t>
      </w:r>
      <w:r>
        <w:rPr>
          <w:sz w:val="15"/>
          <w:szCs w:val="15"/>
        </w:rPr>
        <w:t>0</w:t>
      </w:r>
      <w:r>
        <w:rPr>
          <w:rFonts w:hint="eastAsia"/>
          <w:sz w:val="15"/>
          <w:szCs w:val="15"/>
        </w:rPr>
        <w:t>—支架；1</w:t>
      </w:r>
      <w:r>
        <w:rPr>
          <w:sz w:val="15"/>
          <w:szCs w:val="15"/>
        </w:rPr>
        <w:t>1</w:t>
      </w:r>
      <w:r>
        <w:rPr>
          <w:rFonts w:hint="eastAsia"/>
          <w:sz w:val="15"/>
          <w:szCs w:val="15"/>
        </w:rPr>
        <w:t>—套筒；1</w:t>
      </w:r>
      <w:r>
        <w:rPr>
          <w:sz w:val="15"/>
          <w:szCs w:val="15"/>
        </w:rPr>
        <w:t>2</w:t>
      </w:r>
      <w:r>
        <w:rPr>
          <w:rFonts w:hint="eastAsia"/>
          <w:sz w:val="15"/>
          <w:szCs w:val="15"/>
        </w:rPr>
        <w:t>—封浆料；1</w:t>
      </w:r>
      <w:r>
        <w:rPr>
          <w:sz w:val="15"/>
          <w:szCs w:val="15"/>
        </w:rPr>
        <w:t>3</w:t>
      </w:r>
      <w:r>
        <w:rPr>
          <w:rFonts w:hint="eastAsia"/>
          <w:sz w:val="15"/>
          <w:szCs w:val="15"/>
        </w:rPr>
        <w:t>—分仓层</w:t>
      </w:r>
    </w:p>
    <w:p>
      <w:pPr>
        <w:ind w:firstLine="270" w:firstLineChars="150"/>
        <w:jc w:val="center"/>
        <w:rPr>
          <w:sz w:val="18"/>
          <w:szCs w:val="18"/>
        </w:rPr>
        <w:sectPr>
          <w:pgSz w:w="7938" w:h="11510"/>
          <w:pgMar w:top="1083" w:right="1009" w:bottom="1083" w:left="1009" w:header="851" w:footer="992" w:gutter="0"/>
          <w:cols w:space="425" w:num="1"/>
          <w:docGrid w:type="lines" w:linePitch="312" w:charSpace="0"/>
        </w:sectPr>
      </w:pPr>
    </w:p>
    <w:p>
      <w:pPr>
        <w:pStyle w:val="2"/>
      </w:pPr>
      <w:bookmarkStart w:id="363" w:name="_Toc521503680"/>
      <w:bookmarkStart w:id="364" w:name="_Toc522031116"/>
      <w:bookmarkStart w:id="365" w:name="_Toc522627962"/>
      <w:bookmarkStart w:id="366" w:name="_Toc523216216"/>
      <w:bookmarkStart w:id="367" w:name="_Toc523216674"/>
      <w:bookmarkStart w:id="368" w:name="_Toc6318092"/>
      <w:bookmarkStart w:id="369" w:name="_Toc6325073"/>
      <w:bookmarkStart w:id="370" w:name="_Toc8736853"/>
      <w:bookmarkStart w:id="371" w:name="_Toc12886326"/>
      <w:bookmarkStart w:id="372" w:name="_Toc12959548"/>
      <w:bookmarkStart w:id="373" w:name="_Toc17273677"/>
      <w:r>
        <w:rPr>
          <w:rFonts w:hint="eastAsia"/>
        </w:rPr>
        <w:t>本标准用词说明</w:t>
      </w:r>
      <w:bookmarkEnd w:id="349"/>
      <w:bookmarkEnd w:id="350"/>
      <w:bookmarkEnd w:id="363"/>
      <w:bookmarkEnd w:id="364"/>
      <w:bookmarkEnd w:id="365"/>
      <w:bookmarkEnd w:id="366"/>
      <w:bookmarkEnd w:id="367"/>
      <w:bookmarkEnd w:id="368"/>
      <w:bookmarkEnd w:id="369"/>
      <w:bookmarkEnd w:id="370"/>
      <w:bookmarkEnd w:id="371"/>
      <w:bookmarkEnd w:id="372"/>
      <w:bookmarkEnd w:id="373"/>
      <w:r>
        <w:fldChar w:fldCharType="begin"/>
      </w:r>
      <w:r>
        <w:instrText xml:space="preserve"> </w:instrText>
      </w:r>
      <w:r>
        <w:rPr>
          <w:rFonts w:hint="eastAsia"/>
        </w:rPr>
        <w:instrText xml:space="preserve">TC  "</w:instrText>
      </w:r>
      <w:bookmarkStart w:id="374" w:name="_Toc17274716"/>
      <w:r>
        <w:rPr>
          <w:rFonts w:hint="eastAsia"/>
        </w:rPr>
        <w:instrText xml:space="preserve">Explanation of Wording in This Standard</w:instrText>
      </w:r>
      <w:bookmarkEnd w:id="374"/>
      <w:r>
        <w:rPr>
          <w:rFonts w:hint="eastAsia"/>
        </w:rPr>
        <w:instrText xml:space="preserve">" \l 1</w:instrText>
      </w:r>
      <w:r>
        <w:instrText xml:space="preserve"> </w:instrText>
      </w:r>
      <w:r>
        <w:fldChar w:fldCharType="end"/>
      </w:r>
    </w:p>
    <w:p>
      <w:r>
        <w:rPr>
          <w:rFonts w:hint="eastAsia"/>
          <w:b/>
        </w:rPr>
        <w:t>1</w:t>
      </w:r>
      <w:r>
        <w:rPr>
          <w:rFonts w:hint="eastAsia"/>
        </w:rPr>
        <w:t xml:space="preserve"> </w:t>
      </w:r>
      <w:r>
        <w:t xml:space="preserve"> </w:t>
      </w:r>
      <w:r>
        <w:rPr>
          <w:rFonts w:hint="eastAsia"/>
        </w:rPr>
        <w:t>为了便于在执行本标准条文时区别对待，对要求严格程度不同的用词说明如下：</w:t>
      </w:r>
    </w:p>
    <w:p>
      <w:pPr>
        <w:ind w:firstLine="316" w:firstLineChars="150"/>
      </w:pPr>
      <w:r>
        <w:rPr>
          <w:rFonts w:hint="eastAsia"/>
          <w:b/>
        </w:rPr>
        <w:t>1）</w:t>
      </w:r>
      <w:r>
        <w:rPr>
          <w:rFonts w:hint="eastAsia"/>
        </w:rPr>
        <w:t>表示很严格，非这样做不可的：</w:t>
      </w:r>
    </w:p>
    <w:p>
      <w:pPr>
        <w:ind w:firstLine="315" w:firstLineChars="150"/>
      </w:pPr>
      <w:r>
        <w:rPr>
          <w:rFonts w:hint="eastAsia"/>
        </w:rPr>
        <w:t>正面词采用“必须”；反面词采用“严禁”。</w:t>
      </w:r>
    </w:p>
    <w:p>
      <w:pPr>
        <w:ind w:firstLine="316" w:firstLineChars="150"/>
      </w:pPr>
      <w:r>
        <w:rPr>
          <w:rFonts w:hint="eastAsia"/>
          <w:b/>
        </w:rPr>
        <w:t>2）</w:t>
      </w:r>
      <w:r>
        <w:rPr>
          <w:rFonts w:hint="eastAsia"/>
        </w:rPr>
        <w:t>表示严格，在正常情况下均应这样做的：</w:t>
      </w:r>
    </w:p>
    <w:p>
      <w:pPr>
        <w:ind w:firstLine="315" w:firstLineChars="150"/>
      </w:pPr>
      <w:r>
        <w:rPr>
          <w:rFonts w:hint="eastAsia"/>
        </w:rPr>
        <w:t>正面词采用“应”；反面词采用“不应”或“不得”。</w:t>
      </w:r>
    </w:p>
    <w:p>
      <w:pPr>
        <w:ind w:firstLine="316" w:firstLineChars="150"/>
      </w:pPr>
      <w:r>
        <w:rPr>
          <w:rFonts w:hint="eastAsia"/>
          <w:b/>
        </w:rPr>
        <w:t>3）</w:t>
      </w:r>
      <w:r>
        <w:rPr>
          <w:rFonts w:hint="eastAsia"/>
        </w:rPr>
        <w:t>表示允许稍有选择，在条件许可时首先应这样做的用词：</w:t>
      </w:r>
    </w:p>
    <w:p>
      <w:pPr>
        <w:ind w:firstLine="315" w:firstLineChars="150"/>
      </w:pPr>
      <w:r>
        <w:rPr>
          <w:rFonts w:hint="eastAsia"/>
        </w:rPr>
        <w:t>正面词采用“宜”；反面词采用“不宜”。</w:t>
      </w:r>
    </w:p>
    <w:p>
      <w:pPr>
        <w:ind w:firstLine="315" w:firstLineChars="150"/>
      </w:pPr>
      <w:r>
        <w:rPr>
          <w:rFonts w:hint="eastAsia"/>
        </w:rPr>
        <w:t>表示允许有选择，在一定条件下可以这样做，采用“可”。</w:t>
      </w:r>
    </w:p>
    <w:p>
      <w:r>
        <w:rPr>
          <w:rFonts w:hint="eastAsia"/>
          <w:b/>
        </w:rPr>
        <w:t xml:space="preserve">2 </w:t>
      </w:r>
      <w:r>
        <w:rPr>
          <w:rFonts w:hint="eastAsia"/>
        </w:rPr>
        <w:t xml:space="preserve"> 条文中必须按指定的标准、规范或其他有关规定执行时，其写法为“应按</w:t>
      </w:r>
      <w:r>
        <w:rPr>
          <w:rFonts w:hint="eastAsia" w:ascii="宋体" w:hAnsi="宋体"/>
        </w:rPr>
        <w:t>……</w:t>
      </w:r>
      <w:r>
        <w:rPr>
          <w:rFonts w:hint="eastAsia"/>
        </w:rPr>
        <w:t>执行”或“应符合</w:t>
      </w:r>
      <w:r>
        <w:rPr>
          <w:rFonts w:hint="eastAsia" w:ascii="宋体" w:hAnsi="宋体"/>
        </w:rPr>
        <w:t>……</w:t>
      </w:r>
      <w:r>
        <w:rPr>
          <w:rFonts w:hint="eastAsia"/>
        </w:rPr>
        <w:t>要求”。</w:t>
      </w:r>
    </w:p>
    <w:p>
      <w:pPr>
        <w:rPr>
          <w:color w:val="FF0000"/>
        </w:rPr>
        <w:sectPr>
          <w:footerReference r:id="rId10" w:type="default"/>
          <w:pgSz w:w="7938" w:h="11510"/>
          <w:pgMar w:top="1083" w:right="1009" w:bottom="1083" w:left="1009" w:header="851" w:footer="992" w:gutter="0"/>
          <w:cols w:space="425" w:num="1"/>
          <w:docGrid w:type="lines" w:linePitch="312" w:charSpace="0"/>
        </w:sectPr>
      </w:pPr>
    </w:p>
    <w:p>
      <w:pPr>
        <w:pStyle w:val="2"/>
      </w:pPr>
      <w:bookmarkStart w:id="375" w:name="_Toc12886327"/>
      <w:bookmarkStart w:id="376" w:name="_Toc12959549"/>
      <w:bookmarkStart w:id="377" w:name="_Toc17273678"/>
      <w:bookmarkStart w:id="378" w:name="_Toc8736854"/>
      <w:bookmarkStart w:id="379" w:name="_Toc515373895"/>
      <w:bookmarkStart w:id="380" w:name="_Toc515287991"/>
      <w:bookmarkStart w:id="381" w:name="_Toc522031117"/>
      <w:bookmarkStart w:id="382" w:name="_Toc521503681"/>
      <w:bookmarkStart w:id="383" w:name="_Toc523216217"/>
      <w:bookmarkStart w:id="384" w:name="_Toc522627963"/>
      <w:bookmarkStart w:id="385" w:name="_Toc6325074"/>
      <w:bookmarkStart w:id="386" w:name="_Toc6318093"/>
      <w:bookmarkStart w:id="387" w:name="_Toc523216675"/>
      <w:r>
        <w:rPr>
          <w:rFonts w:hint="eastAsia"/>
        </w:rPr>
        <w:t>引用标准名录</w:t>
      </w:r>
      <w:bookmarkEnd w:id="375"/>
      <w:bookmarkEnd w:id="376"/>
      <w:bookmarkEnd w:id="377"/>
      <w:bookmarkEnd w:id="378"/>
      <w:bookmarkEnd w:id="379"/>
      <w:bookmarkEnd w:id="380"/>
      <w:bookmarkEnd w:id="381"/>
      <w:bookmarkEnd w:id="382"/>
      <w:bookmarkEnd w:id="383"/>
      <w:bookmarkEnd w:id="384"/>
      <w:bookmarkEnd w:id="385"/>
      <w:bookmarkEnd w:id="386"/>
      <w:bookmarkEnd w:id="387"/>
      <w:r>
        <w:fldChar w:fldCharType="begin"/>
      </w:r>
      <w:r>
        <w:instrText xml:space="preserve"> </w:instrText>
      </w:r>
      <w:r>
        <w:rPr>
          <w:rFonts w:hint="eastAsia"/>
        </w:rPr>
        <w:instrText xml:space="preserve">TC  "</w:instrText>
      </w:r>
      <w:bookmarkStart w:id="388" w:name="_Toc17274717"/>
      <w:r>
        <w:rPr>
          <w:rFonts w:hint="eastAsia"/>
        </w:rPr>
        <w:instrText xml:space="preserve">List of Quoted Standards</w:instrText>
      </w:r>
      <w:bookmarkEnd w:id="388"/>
      <w:r>
        <w:rPr>
          <w:rFonts w:hint="eastAsia"/>
        </w:rPr>
        <w:instrText xml:space="preserve">" \l 1</w:instrText>
      </w:r>
      <w:r>
        <w:instrText xml:space="preserve"> </w:instrText>
      </w:r>
      <w:r>
        <w:fldChar w:fldCharType="end"/>
      </w:r>
    </w:p>
    <w:p>
      <w:r>
        <w:rPr>
          <w:rFonts w:hint="eastAsia"/>
          <w:b/>
        </w:rPr>
        <w:t>1</w:t>
      </w:r>
      <w:r>
        <w:t xml:space="preserve">  </w:t>
      </w:r>
      <w:r>
        <w:rPr>
          <w:rFonts w:hint="eastAsia"/>
        </w:rPr>
        <w:t>《混凝土结构工程施工质量验收规范》GB</w:t>
      </w:r>
      <w:r>
        <w:t xml:space="preserve"> </w:t>
      </w:r>
      <w:r>
        <w:rPr>
          <w:rFonts w:hint="eastAsia"/>
        </w:rPr>
        <w:t>50204</w:t>
      </w:r>
    </w:p>
    <w:p>
      <w:r>
        <w:rPr>
          <w:b/>
        </w:rPr>
        <w:t>2</w:t>
      </w:r>
      <w:r>
        <w:t xml:space="preserve">  </w:t>
      </w:r>
      <w:r>
        <w:rPr>
          <w:rFonts w:hint="eastAsia"/>
        </w:rPr>
        <w:t>《混凝土结构现场检测技术标准》GB/T 50784</w:t>
      </w:r>
    </w:p>
    <w:p>
      <w:r>
        <w:rPr>
          <w:b/>
        </w:rPr>
        <w:t>3</w:t>
      </w:r>
      <w:r>
        <w:t xml:space="preserve">  </w:t>
      </w:r>
      <w:r>
        <w:rPr>
          <w:rFonts w:hint="eastAsia"/>
        </w:rPr>
        <w:t>《混凝土结构试验方法标准》GB</w:t>
      </w:r>
      <w:r>
        <w:t xml:space="preserve"> </w:t>
      </w:r>
      <w:r>
        <w:rPr>
          <w:rFonts w:hint="eastAsia"/>
        </w:rPr>
        <w:t>50152</w:t>
      </w:r>
    </w:p>
    <w:p>
      <w:r>
        <w:rPr>
          <w:b/>
          <w:bCs/>
        </w:rPr>
        <w:t>4</w:t>
      </w:r>
      <w:r>
        <w:t xml:space="preserve">  </w:t>
      </w:r>
      <w:r>
        <w:rPr>
          <w:rFonts w:hint="eastAsia"/>
        </w:rPr>
        <w:t>《钢结构工程质量施工验收规范》GB 50205</w:t>
      </w:r>
    </w:p>
    <w:p>
      <w:r>
        <w:rPr>
          <w:b/>
        </w:rPr>
        <w:t xml:space="preserve">5  </w:t>
      </w:r>
      <w:r>
        <w:rPr>
          <w:rFonts w:hint="eastAsia"/>
        </w:rPr>
        <w:t>《混凝土物理力学性能试验方法标准》GB/T 50081</w:t>
      </w:r>
    </w:p>
    <w:p>
      <w:r>
        <w:rPr>
          <w:b/>
          <w:bCs/>
        </w:rPr>
        <w:t xml:space="preserve">6 </w:t>
      </w:r>
      <w:r>
        <w:t xml:space="preserve"> </w:t>
      </w:r>
      <w:r>
        <w:rPr>
          <w:rFonts w:hint="eastAsia"/>
        </w:rPr>
        <w:t>《普通混凝土长期性能和耐久性能试验方法标准》GB/T</w:t>
      </w:r>
      <w:r>
        <w:t xml:space="preserve"> </w:t>
      </w:r>
      <w:r>
        <w:rPr>
          <w:rFonts w:hint="eastAsia"/>
        </w:rPr>
        <w:t>50082</w:t>
      </w:r>
    </w:p>
    <w:p>
      <w:r>
        <w:rPr>
          <w:b/>
          <w:bCs/>
        </w:rPr>
        <w:t>7</w:t>
      </w:r>
      <w:r>
        <w:t xml:space="preserve">  </w:t>
      </w:r>
      <w:r>
        <w:rPr>
          <w:rFonts w:hint="eastAsia"/>
        </w:rPr>
        <w:t>《钢筋混凝土用钢 第1部分：热轧光圆钢筋》GB/T 1499.1</w:t>
      </w:r>
    </w:p>
    <w:p>
      <w:pPr>
        <w:rPr>
          <w:color w:val="000000" w:themeColor="text1"/>
          <w14:textFill>
            <w14:solidFill>
              <w14:schemeClr w14:val="tx1"/>
            </w14:solidFill>
          </w14:textFill>
        </w:rPr>
      </w:pPr>
      <w:r>
        <w:rPr>
          <w:b/>
          <w:bCs/>
          <w:color w:val="000000" w:themeColor="text1"/>
          <w14:textFill>
            <w14:solidFill>
              <w14:schemeClr w14:val="tx1"/>
            </w14:solidFill>
          </w14:textFill>
        </w:rPr>
        <w:t>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《钢筋混凝土用钢 第2部分：热轧带肋钢筋》GB/T 1499.2</w:t>
      </w:r>
    </w:p>
    <w:p>
      <w:pPr>
        <w:rPr>
          <w:color w:val="000000" w:themeColor="text1"/>
          <w14:textFill>
            <w14:solidFill>
              <w14:schemeClr w14:val="tx1"/>
            </w14:solidFill>
          </w14:textFill>
        </w:rPr>
      </w:pPr>
      <w:r>
        <w:rPr>
          <w:b/>
          <w:bCs/>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《冷轧带肋钢筋》GB/T 13788</w:t>
      </w:r>
    </w:p>
    <w:p>
      <w:pPr>
        <w:rPr>
          <w:color w:val="000000" w:themeColor="text1"/>
          <w14:textFill>
            <w14:solidFill>
              <w14:schemeClr w14:val="tx1"/>
            </w14:solidFill>
          </w14:textFill>
        </w:rPr>
      </w:pPr>
      <w:r>
        <w:rPr>
          <w:b/>
          <w:bCs/>
          <w:color w:val="000000" w:themeColor="text1"/>
          <w14:textFill>
            <w14:solidFill>
              <w14:schemeClr w14:val="tx1"/>
            </w14:solidFill>
          </w14:textFill>
        </w:rPr>
        <w:t>10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《预应力混凝土用钢绞线》GB/T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5224</w:t>
      </w:r>
    </w:p>
    <w:p>
      <w:pPr>
        <w:rPr>
          <w:color w:val="000000" w:themeColor="text1"/>
          <w14:textFill>
            <w14:solidFill>
              <w14:schemeClr w14:val="tx1"/>
            </w14:solidFill>
          </w14:textFill>
        </w:rPr>
      </w:pPr>
      <w:r>
        <w:rPr>
          <w:b/>
          <w:bCs/>
          <w:color w:val="000000" w:themeColor="text1"/>
          <w14:textFill>
            <w14:solidFill>
              <w14:schemeClr w14:val="tx1"/>
            </w14:solidFill>
          </w14:textFill>
        </w:rPr>
        <w:t>11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《预应力筋用锚具、夹具和连接器》GB/T 14370</w:t>
      </w:r>
    </w:p>
    <w:p>
      <w:pPr>
        <w:rPr>
          <w:color w:val="000000" w:themeColor="text1"/>
          <w14:textFill>
            <w14:solidFill>
              <w14:schemeClr w14:val="tx1"/>
            </w14:solidFill>
          </w14:textFill>
        </w:rPr>
      </w:pPr>
      <w:r>
        <w:rPr>
          <w:b/>
          <w:bCs/>
          <w:color w:val="000000" w:themeColor="text1"/>
          <w14:textFill>
            <w14:solidFill>
              <w14:schemeClr w14:val="tx1"/>
            </w14:solidFill>
          </w14:textFill>
        </w:rPr>
        <w:t>12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《混凝土中氯离子含量检测技术规程》JGJ/T 322</w:t>
      </w:r>
    </w:p>
    <w:p>
      <w:pPr>
        <w:rPr>
          <w:color w:val="000000" w:themeColor="text1"/>
          <w14:textFill>
            <w14:solidFill>
              <w14:schemeClr w14:val="tx1"/>
            </w14:solidFill>
          </w14:textFill>
        </w:rPr>
      </w:pPr>
      <w:r>
        <w:rPr>
          <w:b/>
          <w:bCs/>
          <w:color w:val="000000" w:themeColor="text1"/>
          <w14:textFill>
            <w14:solidFill>
              <w14:schemeClr w14:val="tx1"/>
            </w14:solidFill>
          </w14:textFill>
        </w:rPr>
        <w:t>13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《碳素结构钢》GB/T 700</w:t>
      </w:r>
    </w:p>
    <w:p>
      <w:pPr>
        <w:rPr>
          <w:color w:val="000000" w:themeColor="text1"/>
          <w14:textFill>
            <w14:solidFill>
              <w14:schemeClr w14:val="tx1"/>
            </w14:solidFill>
          </w14:textFill>
        </w:rPr>
      </w:pPr>
      <w:r>
        <w:rPr>
          <w:b/>
          <w:bCs/>
          <w:color w:val="000000" w:themeColor="text1"/>
          <w14:textFill>
            <w14:solidFill>
              <w14:schemeClr w14:val="tx1"/>
            </w14:solidFill>
          </w14:textFill>
        </w:rPr>
        <w:t>14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《低合金高强度结构钢》GB/T 1591</w:t>
      </w:r>
    </w:p>
    <w:p>
      <w:pPr>
        <w:rPr>
          <w:color w:val="000000" w:themeColor="text1"/>
          <w14:textFill>
            <w14:solidFill>
              <w14:schemeClr w14:val="tx1"/>
            </w14:solidFill>
          </w14:textFill>
        </w:rPr>
      </w:pPr>
      <w:r>
        <w:rPr>
          <w:b/>
          <w:bCs/>
          <w:color w:val="000000" w:themeColor="text1"/>
          <w14:textFill>
            <w14:solidFill>
              <w14:schemeClr w14:val="tx1"/>
            </w14:solidFill>
          </w14:textFill>
        </w:rPr>
        <w:t>15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《水泥基灌浆材料应用技术规范》GB/T 50448</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16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《建筑材料不燃性试验方法》GB/T 5464</w:t>
      </w:r>
    </w:p>
    <w:p>
      <w:pPr>
        <w:rPr>
          <w:color w:val="000000" w:themeColor="text1"/>
          <w14:textFill>
            <w14:solidFill>
              <w14:schemeClr w14:val="tx1"/>
            </w14:solidFill>
          </w14:textFill>
        </w:rPr>
      </w:pPr>
      <w:r>
        <w:rPr>
          <w:b/>
          <w:bCs/>
          <w:color w:val="000000" w:themeColor="text1"/>
          <w14:textFill>
            <w14:solidFill>
              <w14:schemeClr w14:val="tx1"/>
            </w14:solidFill>
          </w14:textFill>
        </w:rPr>
        <w:t>17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《建筑材料及制品的燃烧性能 燃烧热值的测定》GB/T 14402</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18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《建筑材料或制品的单体燃烧试验》GB/T 20284</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《建筑变形测量规范》JGJ 8</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《钢筋连接用套筒灌浆料》JG/T 408</w:t>
      </w:r>
    </w:p>
    <w:p>
      <w:pPr>
        <w:rPr>
          <w:color w:val="000000" w:themeColor="text1"/>
          <w14:textFill>
            <w14:solidFill>
              <w14:schemeClr w14:val="tx1"/>
            </w14:solidFill>
          </w14:textFill>
        </w:rPr>
      </w:pPr>
      <w:r>
        <w:rPr>
          <w:b/>
          <w:bCs/>
          <w:color w:val="000000" w:themeColor="text1"/>
          <w14:textFill>
            <w14:solidFill>
              <w14:schemeClr w14:val="tx1"/>
            </w14:solidFill>
          </w14:textFill>
        </w:rPr>
        <w:t>21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《钢筋连接用灌浆套筒》JG/T 398</w:t>
      </w:r>
    </w:p>
    <w:p>
      <w:pPr>
        <w:rPr>
          <w:color w:val="000000" w:themeColor="text1"/>
          <w14:textFill>
            <w14:solidFill>
              <w14:schemeClr w14:val="tx1"/>
            </w14:solidFill>
          </w14:textFill>
        </w:rPr>
      </w:pPr>
      <w:r>
        <w:rPr>
          <w:b/>
          <w:bCs/>
          <w:color w:val="000000" w:themeColor="text1"/>
          <w14:textFill>
            <w14:solidFill>
              <w14:schemeClr w14:val="tx1"/>
            </w14:solidFill>
          </w14:textFill>
        </w:rPr>
        <w:t>22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《钢筋套筒灌浆连接应用技术规程》JGJ</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355</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23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《建筑砂浆基本性能试验方法标准》JGJ/T 70</w:t>
      </w:r>
    </w:p>
    <w:p>
      <w:pPr>
        <w:rPr>
          <w:color w:val="000000" w:themeColor="text1"/>
          <w14:textFill>
            <w14:solidFill>
              <w14:schemeClr w14:val="tx1"/>
            </w14:solidFill>
          </w14:textFill>
        </w:rPr>
      </w:pPr>
      <w:r>
        <w:rPr>
          <w:b/>
          <w:bCs/>
          <w:color w:val="000000" w:themeColor="text1"/>
          <w14:textFill>
            <w14:solidFill>
              <w14:schemeClr w14:val="tx1"/>
            </w14:solidFill>
          </w14:textFill>
        </w:rPr>
        <w:t>24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《钢筋机械连接用套筒》JG/T 163</w:t>
      </w:r>
    </w:p>
    <w:p>
      <w:pPr>
        <w:rPr>
          <w:color w:val="000000" w:themeColor="text1"/>
          <w14:textFill>
            <w14:solidFill>
              <w14:schemeClr w14:val="tx1"/>
            </w14:solidFill>
          </w14:textFill>
        </w:rPr>
      </w:pPr>
      <w:r>
        <w:rPr>
          <w:b/>
          <w:bCs/>
          <w:color w:val="000000" w:themeColor="text1"/>
          <w14:textFill>
            <w14:solidFill>
              <w14:schemeClr w14:val="tx1"/>
            </w14:solidFill>
          </w14:textFill>
        </w:rPr>
        <w:t>25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《预应力混凝土用金属波纹管》JG</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225</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26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《钢筋锚固板应用技术规程》JGJ 256</w:t>
      </w:r>
    </w:p>
    <w:p>
      <w:pPr>
        <w:rPr>
          <w:color w:val="000000" w:themeColor="text1"/>
          <w14:textFill>
            <w14:solidFill>
              <w14:schemeClr w14:val="tx1"/>
            </w14:solidFill>
          </w14:textFill>
        </w:rPr>
      </w:pPr>
      <w:r>
        <w:rPr>
          <w:b/>
          <w:bCs/>
          <w:color w:val="000000" w:themeColor="text1"/>
          <w14:textFill>
            <w14:solidFill>
              <w14:schemeClr w14:val="tx1"/>
            </w14:solidFill>
          </w14:textFill>
        </w:rPr>
        <w:t>27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《硅酮和改性硅酮建筑密封胶》GB/T 14683</w:t>
      </w:r>
    </w:p>
    <w:p>
      <w:pPr>
        <w:rPr>
          <w:color w:val="000000" w:themeColor="text1"/>
          <w14:textFill>
            <w14:solidFill>
              <w14:schemeClr w14:val="tx1"/>
            </w14:solidFill>
          </w14:textFill>
        </w:rPr>
      </w:pPr>
      <w:r>
        <w:rPr>
          <w:b/>
          <w:color w:val="000000" w:themeColor="text1"/>
          <w14:textFill>
            <w14:solidFill>
              <w14:schemeClr w14:val="tx1"/>
            </w14:solidFill>
          </w14:textFill>
        </w:rPr>
        <w:t>28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《建筑工程饰面砖粘结强度检验标准》JGJ 110</w:t>
      </w:r>
    </w:p>
    <w:p>
      <w:pPr>
        <w:rPr>
          <w:color w:val="000000" w:themeColor="text1"/>
          <w14:textFill>
            <w14:solidFill>
              <w14:schemeClr w14:val="tx1"/>
            </w14:solidFill>
          </w14:textFill>
        </w:rPr>
      </w:pPr>
      <w:r>
        <w:rPr>
          <w:b/>
          <w:color w:val="000000" w:themeColor="text1"/>
          <w14:textFill>
            <w14:solidFill>
              <w14:schemeClr w14:val="tx1"/>
            </w14:solidFill>
          </w14:textFill>
        </w:rPr>
        <w:t>29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《冲击回波法检测混凝土缺陷技术规程》JG/T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411</w:t>
      </w:r>
    </w:p>
    <w:p>
      <w:pPr>
        <w:rPr>
          <w:color w:val="000000" w:themeColor="text1"/>
          <w14:textFill>
            <w14:solidFill>
              <w14:schemeClr w14:val="tx1"/>
            </w14:solidFill>
          </w14:textFill>
        </w:rPr>
      </w:pPr>
      <w:r>
        <w:rPr>
          <w:b/>
          <w:color w:val="000000" w:themeColor="text1"/>
          <w14:textFill>
            <w14:solidFill>
              <w14:schemeClr w14:val="tx1"/>
            </w14:solidFill>
          </w14:textFill>
        </w:rPr>
        <w:t>30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《混凝土中钢筋检测技术规程》JGJ/T 152</w:t>
      </w:r>
    </w:p>
    <w:p>
      <w:pPr>
        <w:rPr>
          <w:color w:val="000000" w:themeColor="text1"/>
          <w14:textFill>
            <w14:solidFill>
              <w14:schemeClr w14:val="tx1"/>
            </w14:solidFill>
          </w14:textFill>
        </w:rPr>
      </w:pPr>
      <w:r>
        <w:rPr>
          <w:b/>
          <w:color w:val="000000" w:themeColor="text1"/>
          <w14:textFill>
            <w14:solidFill>
              <w14:schemeClr w14:val="tx1"/>
            </w14:solidFill>
          </w14:textFill>
        </w:rPr>
        <w:t>31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《拉脱法检测混凝土抗压强度技术规程》JGJ/T 378</w:t>
      </w:r>
    </w:p>
    <w:p>
      <w:pPr>
        <w:rPr>
          <w:color w:val="000000" w:themeColor="text1"/>
          <w14:textFill>
            <w14:solidFill>
              <w14:schemeClr w14:val="tx1"/>
            </w14:solidFill>
          </w14:textFill>
        </w:rPr>
      </w:pPr>
      <w:r>
        <w:rPr>
          <w:b/>
          <w:bCs/>
          <w:color w:val="000000" w:themeColor="text1"/>
          <w14:textFill>
            <w14:solidFill>
              <w14:schemeClr w14:val="tx1"/>
            </w14:solidFill>
          </w14:textFill>
        </w:rPr>
        <w:t>32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《聚氨酯建筑密封胶》JC/T 482</w:t>
      </w:r>
    </w:p>
    <w:p>
      <w:pPr>
        <w:rPr>
          <w:color w:val="000000" w:themeColor="text1"/>
          <w14:textFill>
            <w14:solidFill>
              <w14:schemeClr w14:val="tx1"/>
            </w14:solidFill>
          </w14:textFill>
        </w:rPr>
      </w:pPr>
      <w:r>
        <w:rPr>
          <w:b/>
          <w:bCs/>
          <w:color w:val="000000" w:themeColor="text1"/>
          <w14:textFill>
            <w14:solidFill>
              <w14:schemeClr w14:val="tx1"/>
            </w14:solidFill>
          </w14:textFill>
        </w:rPr>
        <w:t>33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《聚硫建筑密封胶》JC/T 483</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34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《胶粉聚苯颗粒外墙外保温系统材料》JG</w:t>
      </w:r>
      <w:r>
        <w:rPr>
          <w:color w:val="000000" w:themeColor="text1"/>
          <w14:textFill>
            <w14:solidFill>
              <w14:schemeClr w14:val="tx1"/>
            </w14:solidFill>
          </w14:textFill>
        </w:rPr>
        <w:t xml:space="preserve">/T </w:t>
      </w:r>
      <w:r>
        <w:rPr>
          <w:rFonts w:hint="eastAsia"/>
          <w:color w:val="000000" w:themeColor="text1"/>
          <w14:textFill>
            <w14:solidFill>
              <w14:schemeClr w14:val="tx1"/>
            </w14:solidFill>
          </w14:textFill>
        </w:rPr>
        <w:t>158</w:t>
      </w:r>
    </w:p>
    <w:p>
      <w:pPr>
        <w:rPr>
          <w:color w:val="000000" w:themeColor="text1"/>
          <w14:textFill>
            <w14:solidFill>
              <w14:schemeClr w14:val="tx1"/>
            </w14:solidFill>
          </w14:textFill>
        </w:rPr>
      </w:pPr>
      <w:r>
        <w:rPr>
          <w:b/>
          <w:bCs/>
          <w:color w:val="000000" w:themeColor="text1"/>
          <w14:textFill>
            <w14:solidFill>
              <w14:schemeClr w14:val="tx1"/>
            </w14:solidFill>
          </w14:textFill>
        </w:rPr>
        <w:t>35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《膨胀聚苯板薄抹灰外墙外保温系统》JG</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149</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36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《回弹法检测混凝土抗压强度技术规程》</w:t>
      </w:r>
      <w:r>
        <w:rPr>
          <w:color w:val="000000" w:themeColor="text1"/>
          <w14:textFill>
            <w14:solidFill>
              <w14:schemeClr w14:val="tx1"/>
            </w14:solidFill>
          </w14:textFill>
        </w:rPr>
        <w:t>JGJ/T 23</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37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《钻芯法检测混凝土强度技术规程》</w:t>
      </w:r>
      <w:r>
        <w:rPr>
          <w:color w:val="000000" w:themeColor="text1"/>
          <w14:textFill>
            <w14:solidFill>
              <w14:schemeClr w14:val="tx1"/>
            </w14:solidFill>
          </w14:textFill>
        </w:rPr>
        <w:t>JGJ/T 384</w:t>
      </w:r>
    </w:p>
    <w:p>
      <w:pPr>
        <w:rPr>
          <w:color w:val="000000" w:themeColor="text1"/>
          <w14:textFill>
            <w14:solidFill>
              <w14:schemeClr w14:val="tx1"/>
            </w14:solidFill>
          </w14:textFill>
        </w:rPr>
      </w:pPr>
      <w:r>
        <w:rPr>
          <w:b/>
          <w:bCs/>
          <w:color w:val="000000" w:themeColor="text1"/>
          <w14:textFill>
            <w14:solidFill>
              <w14:schemeClr w14:val="tx1"/>
            </w14:solidFill>
          </w14:textFill>
        </w:rPr>
        <w:t>38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《钢筋焊接及验收规程》JGJ 18</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39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《装配式住宅建筑检测技术标准》JGJ/T *****</w:t>
      </w:r>
    </w:p>
    <w:p>
      <w:pPr>
        <w:rPr>
          <w:color w:val="000000" w:themeColor="text1"/>
          <w14:textFill>
            <w14:solidFill>
              <w14:schemeClr w14:val="tx1"/>
            </w14:solidFill>
          </w14:textFill>
        </w:rPr>
      </w:pPr>
      <w:r>
        <w:rPr>
          <w:b/>
          <w:bCs/>
          <w:color w:val="000000" w:themeColor="text1"/>
          <w14:textFill>
            <w14:solidFill>
              <w14:schemeClr w14:val="tx1"/>
            </w14:solidFill>
          </w14:textFill>
        </w:rPr>
        <w:t>40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《超声回弹综合法检测混凝土强度技术规程》</w:t>
      </w:r>
      <w:r>
        <w:rPr>
          <w:color w:val="000000" w:themeColor="text1"/>
          <w14:textFill>
            <w14:solidFill>
              <w14:schemeClr w14:val="tx1"/>
            </w14:solidFill>
          </w14:textFill>
        </w:rPr>
        <w:t>CECS 02</w:t>
      </w:r>
    </w:p>
    <w:p>
      <w:pPr>
        <w:rPr>
          <w:color w:val="000000" w:themeColor="text1"/>
          <w14:textFill>
            <w14:solidFill>
              <w14:schemeClr w14:val="tx1"/>
            </w14:solidFill>
          </w14:textFill>
        </w:rPr>
      </w:pPr>
      <w:r>
        <w:rPr>
          <w:b/>
          <w:color w:val="000000" w:themeColor="text1"/>
          <w14:textFill>
            <w14:solidFill>
              <w14:schemeClr w14:val="tx1"/>
            </w14:solidFill>
          </w14:textFill>
        </w:rPr>
        <w:t>41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《超声法检测混凝土缺陷技术规程》CECS</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21</w:t>
      </w:r>
    </w:p>
    <w:p>
      <w:pPr>
        <w:rPr>
          <w:color w:val="000000" w:themeColor="text1"/>
          <w14:textFill>
            <w14:solidFill>
              <w14:schemeClr w14:val="tx1"/>
            </w14:solidFill>
          </w14:textFill>
        </w:rPr>
      </w:pPr>
      <w:r>
        <w:rPr>
          <w:b/>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《装配式混凝土建筑工程施工质量验收标准》</w:t>
      </w:r>
      <w:r>
        <w:rPr>
          <w:color w:val="000000" w:themeColor="text1"/>
          <w14:textFill>
            <w14:solidFill>
              <w14:schemeClr w14:val="tx1"/>
            </w14:solidFill>
          </w14:textFill>
        </w:rPr>
        <w:t>DBJ/T 15-171</w:t>
      </w:r>
    </w:p>
    <w:p>
      <w:pPr>
        <w:sectPr>
          <w:footerReference r:id="rId11" w:type="even"/>
          <w:pgSz w:w="7938" w:h="11510"/>
          <w:pgMar w:top="1083" w:right="1009" w:bottom="1083" w:left="1009" w:header="851" w:footer="992" w:gutter="0"/>
          <w:cols w:space="425" w:num="1"/>
          <w:docGrid w:type="lines" w:linePitch="312" w:charSpace="0"/>
        </w:sectPr>
      </w:pPr>
    </w:p>
    <w:p>
      <w:pPr>
        <w:spacing w:line="1304" w:lineRule="exact"/>
        <w:jc w:val="center"/>
        <w:rPr>
          <w:sz w:val="32"/>
          <w:szCs w:val="32"/>
        </w:rPr>
      </w:pPr>
    </w:p>
    <w:p>
      <w:pPr>
        <w:jc w:val="center"/>
        <w:rPr>
          <w:sz w:val="32"/>
          <w:szCs w:val="32"/>
        </w:rPr>
      </w:pPr>
      <w:r>
        <w:rPr>
          <w:rFonts w:hint="eastAsia"/>
          <w:sz w:val="32"/>
          <w:szCs w:val="32"/>
        </w:rPr>
        <w:t>广东省标准</w:t>
      </w:r>
    </w:p>
    <w:p>
      <w:pPr>
        <w:spacing w:line="851" w:lineRule="exact"/>
      </w:pPr>
    </w:p>
    <w:p>
      <w:pPr>
        <w:jc w:val="center"/>
        <w:rPr>
          <w:rFonts w:ascii="黑体" w:hAnsi="黑体" w:eastAsia="黑体"/>
          <w:sz w:val="32"/>
          <w:szCs w:val="32"/>
        </w:rPr>
      </w:pPr>
      <w:r>
        <w:rPr>
          <w:rFonts w:hint="eastAsia" w:ascii="黑体" w:hAnsi="黑体" w:eastAsia="黑体"/>
          <w:sz w:val="32"/>
          <w:szCs w:val="32"/>
        </w:rPr>
        <w:t>装配式混凝土结构检测技术标准</w:t>
      </w:r>
    </w:p>
    <w:p>
      <w:pPr>
        <w:spacing w:line="567" w:lineRule="exact"/>
        <w:jc w:val="center"/>
        <w:rPr>
          <w:rFonts w:ascii="黑体" w:hAnsi="黑体" w:eastAsia="黑体"/>
          <w:sz w:val="32"/>
          <w:szCs w:val="32"/>
        </w:rPr>
      </w:pPr>
    </w:p>
    <w:p>
      <w:pPr>
        <w:jc w:val="center"/>
        <w:rPr>
          <w:b/>
        </w:rPr>
      </w:pPr>
      <w:r>
        <w:rPr>
          <w:b/>
        </w:rPr>
        <w:t>DBJ/T XX-XXX-202X</w:t>
      </w:r>
    </w:p>
    <w:p>
      <w:pPr>
        <w:spacing w:line="454" w:lineRule="exact"/>
        <w:jc w:val="center"/>
        <w:rPr>
          <w:b/>
        </w:rPr>
      </w:pPr>
    </w:p>
    <w:p>
      <w:pPr>
        <w:pStyle w:val="2"/>
        <w:spacing w:before="0" w:after="0" w:line="288" w:lineRule="auto"/>
        <w:rPr>
          <w:rFonts w:ascii="宋体" w:hAnsi="宋体" w:eastAsia="宋体"/>
        </w:rPr>
      </w:pPr>
      <w:bookmarkStart w:id="389" w:name="_Toc6318094"/>
      <w:bookmarkStart w:id="390" w:name="_Toc523216676"/>
      <w:bookmarkStart w:id="391" w:name="_Toc523216218"/>
      <w:bookmarkStart w:id="392" w:name="_Toc522627964"/>
      <w:bookmarkStart w:id="393" w:name="_Toc522031118"/>
      <w:bookmarkStart w:id="394" w:name="_Toc521503682"/>
      <w:bookmarkStart w:id="395" w:name="_Toc12959550"/>
      <w:bookmarkStart w:id="396" w:name="_Toc17273679"/>
      <w:bookmarkStart w:id="397" w:name="_Toc8736855"/>
      <w:bookmarkStart w:id="398" w:name="_Toc12886328"/>
      <w:bookmarkStart w:id="399" w:name="_Toc6325075"/>
      <w:r>
        <w:rPr>
          <w:rFonts w:hint="eastAsia" w:ascii="宋体" w:hAnsi="宋体" w:eastAsia="宋体"/>
        </w:rPr>
        <w:t>条文说明</w:t>
      </w:r>
      <w:bookmarkEnd w:id="389"/>
      <w:bookmarkEnd w:id="390"/>
      <w:bookmarkEnd w:id="391"/>
      <w:bookmarkEnd w:id="392"/>
      <w:bookmarkEnd w:id="393"/>
      <w:bookmarkEnd w:id="394"/>
      <w:bookmarkEnd w:id="395"/>
      <w:bookmarkEnd w:id="396"/>
      <w:bookmarkEnd w:id="397"/>
      <w:bookmarkEnd w:id="398"/>
      <w:bookmarkEnd w:id="399"/>
      <w:r>
        <w:fldChar w:fldCharType="begin"/>
      </w:r>
      <w:r>
        <w:instrText xml:space="preserve"> </w:instrText>
      </w:r>
      <w:r>
        <w:rPr>
          <w:rFonts w:hint="eastAsia"/>
        </w:rPr>
        <w:instrText xml:space="preserve">TC  "</w:instrText>
      </w:r>
      <w:bookmarkStart w:id="400" w:name="_Toc17274718"/>
      <w:r>
        <w:instrText xml:space="preserve">Addition：Explanation of Provisions</w:instrText>
      </w:r>
      <w:bookmarkEnd w:id="400"/>
      <w:r>
        <w:rPr>
          <w:rFonts w:hint="eastAsia"/>
        </w:rPr>
        <w:instrText xml:space="preserve">" \l 1</w:instrText>
      </w:r>
      <w:r>
        <w:instrText xml:space="preserve"> </w:instrText>
      </w:r>
      <w:r>
        <w:fldChar w:fldCharType="end"/>
      </w:r>
    </w:p>
    <w:p>
      <w:pPr>
        <w:jc w:val="right"/>
      </w:pPr>
    </w:p>
    <w:p>
      <w:pPr>
        <w:sectPr>
          <w:pgSz w:w="7938" w:h="11510"/>
          <w:pgMar w:top="1083" w:right="1009" w:bottom="1083" w:left="1009" w:header="851" w:footer="992" w:gutter="0"/>
          <w:cols w:space="425" w:num="1"/>
          <w:docGrid w:type="lines" w:linePitch="312" w:charSpace="0"/>
        </w:sectPr>
      </w:pPr>
    </w:p>
    <w:p>
      <w:pPr>
        <w:spacing w:before="964" w:after="567" w:line="240" w:lineRule="auto"/>
        <w:jc w:val="center"/>
        <w:rPr>
          <w:rFonts w:eastAsia="黑体"/>
          <w:sz w:val="30"/>
          <w:szCs w:val="30"/>
        </w:rPr>
      </w:pPr>
      <w:r>
        <w:rPr>
          <w:rFonts w:hint="eastAsia" w:eastAsia="黑体"/>
          <w:sz w:val="30"/>
          <w:szCs w:val="30"/>
        </w:rPr>
        <w:t>编 制 说 明</w:t>
      </w:r>
    </w:p>
    <w:p>
      <w:pPr>
        <w:ind w:firstLine="420" w:firstLineChars="200"/>
      </w:pPr>
      <w:bookmarkStart w:id="401" w:name="_Hlk491331843"/>
      <w:r>
        <w:rPr>
          <w:rFonts w:hint="eastAsia"/>
        </w:rPr>
        <w:t>《装配式混凝土结构检测技术标准》</w:t>
      </w:r>
      <w:bookmarkEnd w:id="401"/>
      <w:r>
        <w:t>DBJ/T XX-XXX-202</w:t>
      </w:r>
      <w:r>
        <w:rPr>
          <w:rFonts w:hint="eastAsia"/>
        </w:rPr>
        <w:t>X，经广东省住房和城乡建设厅</w:t>
      </w:r>
      <w:r>
        <w:t>202</w:t>
      </w:r>
      <w:r>
        <w:rPr>
          <w:rFonts w:hint="eastAsia"/>
        </w:rPr>
        <w:t>X年X月X日以第XXX号公告批准、发布。</w:t>
      </w:r>
    </w:p>
    <w:p>
      <w:pPr>
        <w:ind w:firstLine="420" w:firstLineChars="200"/>
      </w:pPr>
      <w:r>
        <w:rPr>
          <w:rFonts w:hint="eastAsia"/>
        </w:rPr>
        <w:t>本标准在编制过程中，编制组进行了广泛的调查研究，认真总结工程实践经验，参考有关国内标准和国外先进标准，并在广泛征求意见的基础上，对主要问题进行了反复讨论、协调，最终确定各项技术要求。</w:t>
      </w:r>
    </w:p>
    <w:p>
      <w:pPr>
        <w:ind w:firstLine="420" w:firstLineChars="200"/>
        <w:sectPr>
          <w:pgSz w:w="7938" w:h="11510"/>
          <w:pgMar w:top="1083" w:right="1009" w:bottom="1083" w:left="1009" w:header="851" w:footer="992" w:gutter="0"/>
          <w:cols w:space="425" w:num="1"/>
          <w:docGrid w:type="lines" w:linePitch="312" w:charSpace="0"/>
        </w:sectPr>
      </w:pPr>
      <w:r>
        <w:rPr>
          <w:rFonts w:hint="eastAsia"/>
        </w:rPr>
        <w:t>为了便于广大设计、施工、科研、学校等单位有关人员在使用本标准时正确理解和执行条文规定，《装配式混凝土结构检测技术标准》编制组按章、节、条顺序编制了本标准的条文说明，对条文规定的目的、依据以及执行中需注意的有关事项进行了说明。但是，本条文说明不具备与标准正文同等的法律效力，仅供使用者为理解和把握标准规定的参考。</w:t>
      </w:r>
    </w:p>
    <w:p>
      <w:pPr>
        <w:spacing w:before="964" w:after="567" w:line="240" w:lineRule="auto"/>
        <w:jc w:val="center"/>
        <w:rPr>
          <w:rFonts w:ascii="仿宋" w:hAnsi="仿宋" w:eastAsia="仿宋"/>
          <w:sz w:val="28"/>
          <w:szCs w:val="28"/>
        </w:rPr>
      </w:pPr>
      <w:r>
        <w:rPr>
          <w:rFonts w:hint="eastAsia" w:ascii="仿宋" w:hAnsi="仿宋" w:eastAsia="仿宋"/>
          <w:sz w:val="28"/>
          <w:szCs w:val="28"/>
        </w:rPr>
        <w:t>目  次</w:t>
      </w:r>
    </w:p>
    <w:p>
      <w:pPr>
        <w:pStyle w:val="17"/>
        <w:tabs>
          <w:tab w:val="right" w:leader="dot" w:pos="5910"/>
        </w:tabs>
        <w:rPr>
          <w:rFonts w:ascii="Times New Roman" w:eastAsia="宋体"/>
          <w:caps/>
          <w:szCs w:val="21"/>
        </w:rPr>
      </w:pPr>
      <w:r>
        <w:rPr>
          <w:rFonts w:eastAsia="黑体"/>
          <w:caps/>
          <w:color w:val="FF0000"/>
          <w:sz w:val="20"/>
        </w:rPr>
        <w:fldChar w:fldCharType="begin"/>
      </w:r>
      <w:r>
        <w:rPr>
          <w:rFonts w:eastAsia="黑体"/>
          <w:caps/>
          <w:color w:val="FF0000"/>
          <w:sz w:val="20"/>
        </w:rPr>
        <w:instrText xml:space="preserve"> TOC \o "1-2" \u </w:instrText>
      </w:r>
      <w:r>
        <w:rPr>
          <w:rFonts w:eastAsia="黑体"/>
          <w:caps/>
          <w:color w:val="FF0000"/>
          <w:sz w:val="20"/>
        </w:rPr>
        <w:fldChar w:fldCharType="separate"/>
      </w:r>
      <w:r>
        <w:rPr>
          <w:rFonts w:ascii="Times New Roman" w:eastAsia="宋体"/>
          <w:szCs w:val="21"/>
        </w:rPr>
        <w:t>1  总  则</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_Toc12959551 \h </w:instrText>
      </w:r>
      <w:r>
        <w:rPr>
          <w:rFonts w:ascii="Times New Roman" w:eastAsia="宋体"/>
          <w:szCs w:val="21"/>
        </w:rPr>
        <w:fldChar w:fldCharType="separate"/>
      </w:r>
      <w:r>
        <w:rPr>
          <w:rFonts w:ascii="Times New Roman" w:eastAsia="宋体"/>
          <w:szCs w:val="21"/>
        </w:rPr>
        <w:t>45</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2  术  语</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_Toc12959552 \h </w:instrText>
      </w:r>
      <w:r>
        <w:rPr>
          <w:rFonts w:ascii="Times New Roman" w:eastAsia="宋体"/>
          <w:szCs w:val="21"/>
        </w:rPr>
        <w:fldChar w:fldCharType="separate"/>
      </w:r>
      <w:r>
        <w:rPr>
          <w:rFonts w:ascii="Times New Roman" w:eastAsia="宋体"/>
          <w:szCs w:val="21"/>
        </w:rPr>
        <w:t>46</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3  基本规定</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_Toc12959553 \h </w:instrText>
      </w:r>
      <w:r>
        <w:rPr>
          <w:rFonts w:ascii="Times New Roman" w:eastAsia="宋体"/>
          <w:szCs w:val="21"/>
        </w:rPr>
        <w:fldChar w:fldCharType="separate"/>
      </w:r>
      <w:r>
        <w:rPr>
          <w:rFonts w:ascii="Times New Roman" w:eastAsia="宋体"/>
          <w:szCs w:val="21"/>
        </w:rPr>
        <w:t>47</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4  材料检测</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_Toc12959554 \h </w:instrText>
      </w:r>
      <w:r>
        <w:rPr>
          <w:rFonts w:ascii="Times New Roman" w:eastAsia="宋体"/>
          <w:szCs w:val="21"/>
        </w:rPr>
        <w:fldChar w:fldCharType="separate"/>
      </w:r>
      <w:r>
        <w:rPr>
          <w:rFonts w:ascii="Times New Roman" w:eastAsia="宋体"/>
          <w:szCs w:val="21"/>
        </w:rPr>
        <w:t>49</w:t>
      </w:r>
      <w:r>
        <w:rPr>
          <w:rFonts w:ascii="Times New Roman" w:eastAsia="宋体"/>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4.1  一般规定</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_Toc12959555 \h </w:instrText>
      </w:r>
      <w:r>
        <w:rPr>
          <w:rFonts w:ascii="Times New Roman" w:eastAsia="宋体"/>
          <w:bCs/>
          <w:sz w:val="21"/>
          <w:szCs w:val="21"/>
        </w:rPr>
        <w:fldChar w:fldCharType="separate"/>
      </w:r>
      <w:r>
        <w:rPr>
          <w:rFonts w:ascii="Times New Roman" w:eastAsia="宋体"/>
          <w:bCs/>
          <w:sz w:val="21"/>
          <w:szCs w:val="21"/>
        </w:rPr>
        <w:t>49</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4.2  混凝土</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_Toc12959556 \h </w:instrText>
      </w:r>
      <w:r>
        <w:rPr>
          <w:rFonts w:ascii="Times New Roman" w:eastAsia="宋体"/>
          <w:bCs/>
          <w:sz w:val="21"/>
          <w:szCs w:val="21"/>
        </w:rPr>
        <w:fldChar w:fldCharType="separate"/>
      </w:r>
      <w:r>
        <w:rPr>
          <w:rFonts w:ascii="Times New Roman" w:eastAsia="宋体"/>
          <w:bCs/>
          <w:sz w:val="21"/>
          <w:szCs w:val="21"/>
        </w:rPr>
        <w:t>49</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4.4  连接材料</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_Toc12959557 \h </w:instrText>
      </w:r>
      <w:r>
        <w:rPr>
          <w:rFonts w:ascii="Times New Roman" w:eastAsia="宋体"/>
          <w:bCs/>
          <w:sz w:val="21"/>
          <w:szCs w:val="21"/>
        </w:rPr>
        <w:fldChar w:fldCharType="separate"/>
      </w:r>
      <w:r>
        <w:rPr>
          <w:rFonts w:ascii="Times New Roman" w:eastAsia="宋体"/>
          <w:bCs/>
          <w:sz w:val="21"/>
          <w:szCs w:val="21"/>
        </w:rPr>
        <w:t>50</w:t>
      </w:r>
      <w:r>
        <w:rPr>
          <w:rFonts w:ascii="Times New Roman" w:eastAsia="宋体"/>
          <w:bCs/>
          <w:sz w:val="21"/>
          <w:szCs w:val="21"/>
        </w:rPr>
        <w:fldChar w:fldCharType="end"/>
      </w:r>
    </w:p>
    <w:p>
      <w:pPr>
        <w:pStyle w:val="17"/>
        <w:tabs>
          <w:tab w:val="right" w:leader="dot" w:pos="5910"/>
        </w:tabs>
        <w:rPr>
          <w:rFonts w:ascii="Times New Roman" w:eastAsia="宋体"/>
          <w:caps/>
          <w:szCs w:val="21"/>
        </w:rPr>
      </w:pPr>
      <w:r>
        <w:rPr>
          <w:rFonts w:ascii="Times New Roman" w:eastAsia="宋体"/>
          <w:szCs w:val="21"/>
        </w:rPr>
        <w:t>5  预制构件进场检测</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_Toc12959558 \h </w:instrText>
      </w:r>
      <w:r>
        <w:rPr>
          <w:rFonts w:ascii="Times New Roman" w:eastAsia="宋体"/>
          <w:szCs w:val="21"/>
        </w:rPr>
        <w:fldChar w:fldCharType="separate"/>
      </w:r>
      <w:r>
        <w:rPr>
          <w:rFonts w:ascii="Times New Roman" w:eastAsia="宋体"/>
          <w:szCs w:val="21"/>
        </w:rPr>
        <w:t>51</w:t>
      </w:r>
      <w:r>
        <w:rPr>
          <w:rFonts w:ascii="Times New Roman" w:eastAsia="宋体"/>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5.1  一般规定</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_Toc12959559 \h </w:instrText>
      </w:r>
      <w:r>
        <w:rPr>
          <w:rFonts w:ascii="Times New Roman" w:eastAsia="宋体"/>
          <w:bCs/>
          <w:sz w:val="21"/>
          <w:szCs w:val="21"/>
        </w:rPr>
        <w:fldChar w:fldCharType="separate"/>
      </w:r>
      <w:r>
        <w:rPr>
          <w:rFonts w:ascii="Times New Roman" w:eastAsia="宋体"/>
          <w:bCs/>
          <w:sz w:val="21"/>
          <w:szCs w:val="21"/>
        </w:rPr>
        <w:t>51</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5.2  混凝土强度</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_Toc12959560 \h </w:instrText>
      </w:r>
      <w:r>
        <w:rPr>
          <w:rFonts w:ascii="Times New Roman" w:eastAsia="宋体"/>
          <w:bCs/>
          <w:sz w:val="21"/>
          <w:szCs w:val="21"/>
        </w:rPr>
        <w:fldChar w:fldCharType="separate"/>
      </w:r>
      <w:r>
        <w:rPr>
          <w:rFonts w:ascii="Times New Roman" w:eastAsia="宋体"/>
          <w:bCs/>
          <w:sz w:val="21"/>
          <w:szCs w:val="21"/>
        </w:rPr>
        <w:t>51</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5.3  构件缺陷</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_Toc12959561 \h </w:instrText>
      </w:r>
      <w:r>
        <w:rPr>
          <w:rFonts w:ascii="Times New Roman" w:eastAsia="宋体"/>
          <w:bCs/>
          <w:sz w:val="21"/>
          <w:szCs w:val="21"/>
        </w:rPr>
        <w:fldChar w:fldCharType="separate"/>
      </w:r>
      <w:r>
        <w:rPr>
          <w:rFonts w:ascii="Times New Roman" w:eastAsia="宋体"/>
          <w:bCs/>
          <w:sz w:val="21"/>
          <w:szCs w:val="21"/>
        </w:rPr>
        <w:t>51</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5.4  尺寸偏差</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_Toc12959562 \h </w:instrText>
      </w:r>
      <w:r>
        <w:rPr>
          <w:rFonts w:ascii="Times New Roman" w:eastAsia="宋体"/>
          <w:bCs/>
          <w:sz w:val="21"/>
          <w:szCs w:val="21"/>
        </w:rPr>
        <w:fldChar w:fldCharType="separate"/>
      </w:r>
      <w:r>
        <w:rPr>
          <w:rFonts w:ascii="Times New Roman" w:eastAsia="宋体"/>
          <w:bCs/>
          <w:sz w:val="21"/>
          <w:szCs w:val="21"/>
        </w:rPr>
        <w:t>52</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5.5  钢筋配置</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_Toc12959563 \h </w:instrText>
      </w:r>
      <w:r>
        <w:rPr>
          <w:rFonts w:ascii="Times New Roman" w:eastAsia="宋体"/>
          <w:bCs/>
          <w:sz w:val="21"/>
          <w:szCs w:val="21"/>
        </w:rPr>
        <w:fldChar w:fldCharType="separate"/>
      </w:r>
      <w:r>
        <w:rPr>
          <w:rFonts w:ascii="Times New Roman" w:eastAsia="宋体"/>
          <w:bCs/>
          <w:sz w:val="21"/>
          <w:szCs w:val="21"/>
        </w:rPr>
        <w:t>52</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5.6  构件性能</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_Toc12959564 \h </w:instrText>
      </w:r>
      <w:r>
        <w:rPr>
          <w:rFonts w:ascii="Times New Roman" w:eastAsia="宋体"/>
          <w:bCs/>
          <w:sz w:val="21"/>
          <w:szCs w:val="21"/>
        </w:rPr>
        <w:fldChar w:fldCharType="separate"/>
      </w:r>
      <w:r>
        <w:rPr>
          <w:rFonts w:ascii="Times New Roman" w:eastAsia="宋体"/>
          <w:bCs/>
          <w:sz w:val="21"/>
          <w:szCs w:val="21"/>
        </w:rPr>
        <w:t>52</w:t>
      </w:r>
      <w:r>
        <w:rPr>
          <w:rFonts w:ascii="Times New Roman" w:eastAsia="宋体"/>
          <w:bCs/>
          <w:sz w:val="21"/>
          <w:szCs w:val="21"/>
        </w:rPr>
        <w:fldChar w:fldCharType="end"/>
      </w:r>
    </w:p>
    <w:p>
      <w:pPr>
        <w:pStyle w:val="17"/>
        <w:tabs>
          <w:tab w:val="right" w:leader="dot" w:pos="5910"/>
        </w:tabs>
        <w:rPr>
          <w:rFonts w:ascii="Times New Roman" w:eastAsia="宋体"/>
          <w:caps/>
          <w:szCs w:val="21"/>
        </w:rPr>
      </w:pPr>
      <w:r>
        <w:rPr>
          <w:rFonts w:ascii="Times New Roman" w:eastAsia="宋体"/>
          <w:szCs w:val="21"/>
        </w:rPr>
        <w:t>6  安装与连接质量检测</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_Toc12959565 \h </w:instrText>
      </w:r>
      <w:r>
        <w:rPr>
          <w:rFonts w:ascii="Times New Roman" w:eastAsia="宋体"/>
          <w:szCs w:val="21"/>
        </w:rPr>
        <w:fldChar w:fldCharType="separate"/>
      </w:r>
      <w:r>
        <w:rPr>
          <w:rFonts w:ascii="Times New Roman" w:eastAsia="宋体"/>
          <w:szCs w:val="21"/>
        </w:rPr>
        <w:t>53</w:t>
      </w:r>
      <w:r>
        <w:rPr>
          <w:rFonts w:ascii="Times New Roman" w:eastAsia="宋体"/>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6.1  一般规定</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_Toc12959566 \h </w:instrText>
      </w:r>
      <w:r>
        <w:rPr>
          <w:rFonts w:ascii="Times New Roman" w:eastAsia="宋体"/>
          <w:bCs/>
          <w:sz w:val="21"/>
          <w:szCs w:val="21"/>
        </w:rPr>
        <w:fldChar w:fldCharType="separate"/>
      </w:r>
      <w:r>
        <w:rPr>
          <w:rFonts w:ascii="Times New Roman" w:eastAsia="宋体"/>
          <w:bCs/>
          <w:sz w:val="21"/>
          <w:szCs w:val="21"/>
        </w:rPr>
        <w:t>53</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6.2  安装尺寸偏差</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_Toc12959567 \h </w:instrText>
      </w:r>
      <w:r>
        <w:rPr>
          <w:rFonts w:ascii="Times New Roman" w:eastAsia="宋体"/>
          <w:bCs/>
          <w:sz w:val="21"/>
          <w:szCs w:val="21"/>
        </w:rPr>
        <w:fldChar w:fldCharType="separate"/>
      </w:r>
      <w:r>
        <w:rPr>
          <w:rFonts w:ascii="Times New Roman" w:eastAsia="宋体"/>
          <w:bCs/>
          <w:sz w:val="21"/>
          <w:szCs w:val="21"/>
        </w:rPr>
        <w:t>53</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6.3  钢筋连接质量</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_Toc12959568 \h </w:instrText>
      </w:r>
      <w:r>
        <w:rPr>
          <w:rFonts w:ascii="Times New Roman" w:eastAsia="宋体"/>
          <w:bCs/>
          <w:sz w:val="21"/>
          <w:szCs w:val="21"/>
        </w:rPr>
        <w:fldChar w:fldCharType="separate"/>
      </w:r>
      <w:r>
        <w:rPr>
          <w:rFonts w:ascii="Times New Roman" w:eastAsia="宋体"/>
          <w:bCs/>
          <w:sz w:val="21"/>
          <w:szCs w:val="21"/>
        </w:rPr>
        <w:t>54</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6.4  套筒灌浆与浆锚搭接灌浆连接质量</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_Toc12959569 \h </w:instrText>
      </w:r>
      <w:r>
        <w:rPr>
          <w:rFonts w:ascii="Times New Roman" w:eastAsia="宋体"/>
          <w:bCs/>
          <w:sz w:val="21"/>
          <w:szCs w:val="21"/>
        </w:rPr>
        <w:fldChar w:fldCharType="separate"/>
      </w:r>
      <w:r>
        <w:rPr>
          <w:rFonts w:ascii="Times New Roman" w:eastAsia="宋体"/>
          <w:bCs/>
          <w:sz w:val="21"/>
          <w:szCs w:val="21"/>
        </w:rPr>
        <w:t>54</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6.5  预制剪力墙底部接缝灌浆质量</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_Toc12959570 \h </w:instrText>
      </w:r>
      <w:r>
        <w:rPr>
          <w:rFonts w:ascii="Times New Roman" w:eastAsia="宋体"/>
          <w:bCs/>
          <w:sz w:val="21"/>
          <w:szCs w:val="21"/>
        </w:rPr>
        <w:fldChar w:fldCharType="separate"/>
      </w:r>
      <w:r>
        <w:rPr>
          <w:rFonts w:ascii="Times New Roman" w:eastAsia="宋体"/>
          <w:bCs/>
          <w:sz w:val="21"/>
          <w:szCs w:val="21"/>
        </w:rPr>
        <w:t>56</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6.6  叠合构件及双面叠合剪力墙空腔内现浇混凝土质量</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_Toc12959571 \h </w:instrText>
      </w:r>
      <w:r>
        <w:rPr>
          <w:rFonts w:ascii="Times New Roman" w:eastAsia="宋体"/>
          <w:bCs/>
          <w:sz w:val="21"/>
          <w:szCs w:val="21"/>
        </w:rPr>
        <w:fldChar w:fldCharType="separate"/>
      </w:r>
      <w:r>
        <w:rPr>
          <w:rFonts w:ascii="Times New Roman" w:eastAsia="宋体"/>
          <w:bCs/>
          <w:sz w:val="21"/>
          <w:szCs w:val="21"/>
        </w:rPr>
        <w:t>56</w:t>
      </w:r>
      <w:r>
        <w:rPr>
          <w:rFonts w:ascii="Times New Roman" w:eastAsia="宋体"/>
          <w:bCs/>
          <w:sz w:val="21"/>
          <w:szCs w:val="21"/>
        </w:rPr>
        <w:fldChar w:fldCharType="end"/>
      </w:r>
    </w:p>
    <w:p>
      <w:pPr>
        <w:pStyle w:val="17"/>
        <w:tabs>
          <w:tab w:val="right" w:leader="dot" w:pos="5910"/>
        </w:tabs>
        <w:rPr>
          <w:rFonts w:ascii="Times New Roman" w:eastAsia="宋体"/>
          <w:caps/>
          <w:szCs w:val="21"/>
        </w:rPr>
      </w:pPr>
      <w:r>
        <w:rPr>
          <w:rFonts w:ascii="Times New Roman" w:eastAsia="宋体"/>
          <w:szCs w:val="21"/>
        </w:rPr>
        <w:t>7  结构实体与整体性检验</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_Toc12959572 \h </w:instrText>
      </w:r>
      <w:r>
        <w:rPr>
          <w:rFonts w:ascii="Times New Roman" w:eastAsia="宋体"/>
          <w:szCs w:val="21"/>
        </w:rPr>
        <w:fldChar w:fldCharType="separate"/>
      </w:r>
      <w:r>
        <w:rPr>
          <w:rFonts w:ascii="Times New Roman" w:eastAsia="宋体"/>
          <w:szCs w:val="21"/>
        </w:rPr>
        <w:t>57</w:t>
      </w:r>
      <w:r>
        <w:rPr>
          <w:rFonts w:ascii="Times New Roman" w:eastAsia="宋体"/>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7.1  一般规定</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_Toc12959573 \h </w:instrText>
      </w:r>
      <w:r>
        <w:rPr>
          <w:rFonts w:ascii="Times New Roman" w:eastAsia="宋体"/>
          <w:bCs/>
          <w:sz w:val="21"/>
          <w:szCs w:val="21"/>
        </w:rPr>
        <w:fldChar w:fldCharType="separate"/>
      </w:r>
      <w:r>
        <w:rPr>
          <w:rFonts w:ascii="Times New Roman" w:eastAsia="宋体"/>
          <w:bCs/>
          <w:sz w:val="21"/>
          <w:szCs w:val="21"/>
        </w:rPr>
        <w:t>57</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7.2  装配式结构现浇部分实体检验</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_Toc12959574 \h </w:instrText>
      </w:r>
      <w:r>
        <w:rPr>
          <w:rFonts w:ascii="Times New Roman" w:eastAsia="宋体"/>
          <w:bCs/>
          <w:sz w:val="21"/>
          <w:szCs w:val="21"/>
        </w:rPr>
        <w:fldChar w:fldCharType="separate"/>
      </w:r>
      <w:r>
        <w:rPr>
          <w:rFonts w:ascii="Times New Roman" w:eastAsia="宋体"/>
          <w:bCs/>
          <w:sz w:val="21"/>
          <w:szCs w:val="21"/>
        </w:rPr>
        <w:t>57</w:t>
      </w:r>
      <w:r>
        <w:rPr>
          <w:rFonts w:ascii="Times New Roman" w:eastAsia="宋体"/>
          <w:bCs/>
          <w:sz w:val="21"/>
          <w:szCs w:val="21"/>
        </w:rPr>
        <w:fldChar w:fldCharType="end"/>
      </w:r>
    </w:p>
    <w:p>
      <w:pPr>
        <w:pStyle w:val="20"/>
        <w:tabs>
          <w:tab w:val="right" w:leader="dot" w:pos="5910"/>
        </w:tabs>
        <w:rPr>
          <w:rFonts w:ascii="Times New Roman" w:eastAsia="宋体"/>
          <w:bCs/>
          <w:smallCaps/>
          <w:sz w:val="21"/>
          <w:szCs w:val="21"/>
        </w:rPr>
      </w:pPr>
      <w:r>
        <w:rPr>
          <w:rFonts w:ascii="Times New Roman" w:eastAsia="宋体"/>
          <w:bCs/>
          <w:szCs w:val="15"/>
        </w:rPr>
        <w:t>7.3  结构整体性能检验</w:t>
      </w:r>
      <w:r>
        <w:rPr>
          <w:rFonts w:ascii="Times New Roman" w:eastAsia="宋体"/>
          <w:bCs/>
          <w:sz w:val="21"/>
          <w:szCs w:val="21"/>
        </w:rPr>
        <w:tab/>
      </w:r>
      <w:r>
        <w:rPr>
          <w:rFonts w:ascii="Times New Roman" w:eastAsia="宋体"/>
          <w:bCs/>
          <w:sz w:val="21"/>
          <w:szCs w:val="21"/>
        </w:rPr>
        <w:fldChar w:fldCharType="begin"/>
      </w:r>
      <w:r>
        <w:rPr>
          <w:rFonts w:ascii="Times New Roman" w:eastAsia="宋体"/>
          <w:bCs/>
          <w:sz w:val="21"/>
          <w:szCs w:val="21"/>
        </w:rPr>
        <w:instrText xml:space="preserve"> PAGEREF _Toc12959575 \h </w:instrText>
      </w:r>
      <w:r>
        <w:rPr>
          <w:rFonts w:ascii="Times New Roman" w:eastAsia="宋体"/>
          <w:bCs/>
          <w:sz w:val="21"/>
          <w:szCs w:val="21"/>
        </w:rPr>
        <w:fldChar w:fldCharType="separate"/>
      </w:r>
      <w:r>
        <w:rPr>
          <w:rFonts w:ascii="Times New Roman" w:eastAsia="宋体"/>
          <w:bCs/>
          <w:sz w:val="21"/>
          <w:szCs w:val="21"/>
        </w:rPr>
        <w:t>57</w:t>
      </w:r>
      <w:r>
        <w:rPr>
          <w:rFonts w:ascii="Times New Roman" w:eastAsia="宋体"/>
          <w:bCs/>
          <w:sz w:val="21"/>
          <w:szCs w:val="21"/>
        </w:rPr>
        <w:fldChar w:fldCharType="end"/>
      </w:r>
    </w:p>
    <w:p>
      <w:pPr>
        <w:pStyle w:val="17"/>
        <w:tabs>
          <w:tab w:val="right" w:leader="dot" w:pos="5910"/>
        </w:tabs>
        <w:rPr>
          <w:rFonts w:ascii="Times New Roman" w:eastAsia="宋体"/>
          <w:caps/>
          <w:szCs w:val="21"/>
        </w:rPr>
      </w:pPr>
      <w:r>
        <w:rPr>
          <w:rFonts w:ascii="Times New Roman" w:eastAsia="宋体"/>
          <w:szCs w:val="21"/>
        </w:rPr>
        <w:t>附录A  混凝土缺陷相控阵超声成像法</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_Toc12959576 \h </w:instrText>
      </w:r>
      <w:r>
        <w:rPr>
          <w:rFonts w:ascii="Times New Roman" w:eastAsia="宋体"/>
          <w:szCs w:val="21"/>
        </w:rPr>
        <w:fldChar w:fldCharType="separate"/>
      </w:r>
      <w:r>
        <w:rPr>
          <w:rFonts w:ascii="Times New Roman" w:eastAsia="宋体"/>
          <w:szCs w:val="21"/>
        </w:rPr>
        <w:t>59</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附录B  预制构件粗糙面凹凸深度检测方法</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_Toc12959577 \h </w:instrText>
      </w:r>
      <w:r>
        <w:rPr>
          <w:rFonts w:ascii="Times New Roman" w:eastAsia="宋体"/>
          <w:szCs w:val="21"/>
        </w:rPr>
        <w:fldChar w:fldCharType="separate"/>
      </w:r>
      <w:r>
        <w:rPr>
          <w:rFonts w:ascii="Times New Roman" w:eastAsia="宋体"/>
          <w:szCs w:val="21"/>
        </w:rPr>
        <w:t>61</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附录C  用于量测灌浆套筒及连接钢筋中心线位置的坐标定位法</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_Toc12959578 \h </w:instrText>
      </w:r>
      <w:r>
        <w:rPr>
          <w:rFonts w:ascii="Times New Roman" w:eastAsia="宋体"/>
          <w:szCs w:val="21"/>
        </w:rPr>
        <w:fldChar w:fldCharType="separate"/>
      </w:r>
      <w:r>
        <w:rPr>
          <w:rFonts w:ascii="Times New Roman" w:eastAsia="宋体"/>
          <w:szCs w:val="21"/>
        </w:rPr>
        <w:t>63</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附录D  用于检测套筒灌浆饱满度的预埋传感器法</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_Toc12959579 \h </w:instrText>
      </w:r>
      <w:r>
        <w:rPr>
          <w:rFonts w:ascii="Times New Roman" w:eastAsia="宋体"/>
          <w:szCs w:val="21"/>
        </w:rPr>
        <w:fldChar w:fldCharType="separate"/>
      </w:r>
      <w:r>
        <w:rPr>
          <w:rFonts w:ascii="Times New Roman" w:eastAsia="宋体"/>
          <w:szCs w:val="21"/>
        </w:rPr>
        <w:t>64</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附录E  隔墙冲击试验</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_Toc12959580 \h </w:instrText>
      </w:r>
      <w:r>
        <w:rPr>
          <w:rFonts w:ascii="Times New Roman" w:eastAsia="宋体"/>
          <w:szCs w:val="21"/>
        </w:rPr>
        <w:fldChar w:fldCharType="separate"/>
      </w:r>
      <w:r>
        <w:rPr>
          <w:rFonts w:ascii="Times New Roman" w:eastAsia="宋体"/>
          <w:szCs w:val="21"/>
        </w:rPr>
        <w:t>65</w:t>
      </w:r>
      <w:r>
        <w:rPr>
          <w:rFonts w:ascii="Times New Roman" w:eastAsia="宋体"/>
          <w:szCs w:val="21"/>
        </w:rPr>
        <w:fldChar w:fldCharType="end"/>
      </w:r>
    </w:p>
    <w:p>
      <w:pPr>
        <w:pStyle w:val="17"/>
        <w:tabs>
          <w:tab w:val="right" w:leader="dot" w:pos="5910"/>
        </w:tabs>
        <w:rPr>
          <w:rFonts w:ascii="Times New Roman" w:eastAsia="宋体"/>
          <w:caps/>
          <w:szCs w:val="21"/>
        </w:rPr>
      </w:pPr>
      <w:r>
        <w:rPr>
          <w:rFonts w:ascii="Times New Roman" w:eastAsia="宋体"/>
          <w:szCs w:val="21"/>
        </w:rPr>
        <w:t>附录G  平行构件法</w:t>
      </w:r>
      <w:r>
        <w:rPr>
          <w:rFonts w:ascii="Times New Roman" w:eastAsia="宋体"/>
          <w:szCs w:val="21"/>
        </w:rPr>
        <w:tab/>
      </w:r>
      <w:r>
        <w:rPr>
          <w:rFonts w:ascii="Times New Roman" w:eastAsia="宋体"/>
          <w:szCs w:val="21"/>
        </w:rPr>
        <w:fldChar w:fldCharType="begin"/>
      </w:r>
      <w:r>
        <w:rPr>
          <w:rFonts w:ascii="Times New Roman" w:eastAsia="宋体"/>
          <w:szCs w:val="21"/>
        </w:rPr>
        <w:instrText xml:space="preserve"> PAGEREF _Toc12959581 \h </w:instrText>
      </w:r>
      <w:r>
        <w:rPr>
          <w:rFonts w:ascii="Times New Roman" w:eastAsia="宋体"/>
          <w:szCs w:val="21"/>
        </w:rPr>
        <w:fldChar w:fldCharType="separate"/>
      </w:r>
      <w:r>
        <w:rPr>
          <w:rFonts w:ascii="Times New Roman" w:eastAsia="宋体"/>
          <w:szCs w:val="21"/>
        </w:rPr>
        <w:t>67</w:t>
      </w:r>
      <w:r>
        <w:rPr>
          <w:rFonts w:ascii="Times New Roman" w:eastAsia="宋体"/>
          <w:szCs w:val="21"/>
        </w:rPr>
        <w:fldChar w:fldCharType="end"/>
      </w:r>
    </w:p>
    <w:p>
      <w:pPr>
        <w:rPr>
          <w:rFonts w:ascii="仿宋" w:hAnsi="仿宋" w:eastAsia="仿宋"/>
          <w:bCs/>
          <w:sz w:val="28"/>
          <w:szCs w:val="28"/>
        </w:rPr>
      </w:pPr>
      <w:r>
        <w:rPr>
          <w:rFonts w:eastAsia="黑体" w:asciiTheme="minorHAnsi"/>
          <w:bCs/>
          <w:caps/>
          <w:color w:val="FF0000"/>
          <w:sz w:val="20"/>
          <w:szCs w:val="20"/>
        </w:rPr>
        <w:fldChar w:fldCharType="end"/>
      </w:r>
    </w:p>
    <w:p>
      <w:pPr>
        <w:jc w:val="center"/>
        <w:rPr>
          <w:rFonts w:ascii="仿宋" w:hAnsi="仿宋" w:eastAsia="仿宋"/>
          <w:sz w:val="28"/>
          <w:szCs w:val="28"/>
        </w:rPr>
        <w:sectPr>
          <w:pgSz w:w="7938" w:h="11510"/>
          <w:pgMar w:top="1083" w:right="1009" w:bottom="1083" w:left="1009" w:header="851" w:footer="992" w:gutter="0"/>
          <w:cols w:space="425" w:num="1"/>
          <w:docGrid w:type="lines" w:linePitch="312" w:charSpace="0"/>
        </w:sectPr>
      </w:pPr>
    </w:p>
    <w:p>
      <w:pPr>
        <w:pStyle w:val="2"/>
      </w:pPr>
      <w:bookmarkStart w:id="402" w:name="_Toc488047953"/>
      <w:bookmarkStart w:id="403" w:name="_Toc488066070"/>
      <w:bookmarkStart w:id="404" w:name="_Toc488070405"/>
      <w:bookmarkStart w:id="405" w:name="_Toc488071087"/>
      <w:bookmarkStart w:id="406" w:name="_Toc488244632"/>
      <w:bookmarkStart w:id="407" w:name="_Toc488244667"/>
      <w:bookmarkStart w:id="408" w:name="_Toc488244880"/>
      <w:bookmarkStart w:id="409" w:name="_Toc489607656"/>
      <w:bookmarkStart w:id="410" w:name="_Toc509393004"/>
      <w:bookmarkStart w:id="411" w:name="_Toc515287992"/>
      <w:bookmarkStart w:id="412" w:name="_Toc515373896"/>
      <w:bookmarkStart w:id="413" w:name="_Toc515373983"/>
      <w:bookmarkStart w:id="414" w:name="_Toc515375691"/>
      <w:bookmarkStart w:id="415" w:name="_Toc515375935"/>
      <w:bookmarkStart w:id="416" w:name="_Toc515377837"/>
      <w:bookmarkStart w:id="417" w:name="_Toc517274469"/>
      <w:bookmarkStart w:id="418" w:name="_Toc519588858"/>
      <w:bookmarkStart w:id="419" w:name="_Toc521495151"/>
      <w:bookmarkStart w:id="420" w:name="_Toc521594482"/>
      <w:bookmarkStart w:id="421" w:name="_Toc521597516"/>
      <w:bookmarkStart w:id="422" w:name="_Toc521656827"/>
      <w:bookmarkStart w:id="423" w:name="_Toc521664096"/>
      <w:bookmarkStart w:id="424" w:name="_Toc522031222"/>
      <w:bookmarkStart w:id="425" w:name="_Toc522089682"/>
      <w:bookmarkStart w:id="426" w:name="_Toc522289776"/>
      <w:bookmarkStart w:id="427" w:name="_Toc522289826"/>
      <w:bookmarkStart w:id="428" w:name="_Toc522627717"/>
      <w:bookmarkStart w:id="429" w:name="_Toc523216455"/>
      <w:bookmarkStart w:id="430" w:name="_Toc523216740"/>
      <w:bookmarkStart w:id="431" w:name="_Toc6317632"/>
      <w:bookmarkStart w:id="432" w:name="_Toc6324927"/>
      <w:bookmarkStart w:id="433" w:name="_Toc6469301"/>
      <w:bookmarkStart w:id="434" w:name="_Toc6675878"/>
      <w:bookmarkStart w:id="435" w:name="_Toc8726277"/>
      <w:bookmarkStart w:id="436" w:name="_Toc12868806"/>
      <w:bookmarkStart w:id="437" w:name="_Toc12958804"/>
      <w:bookmarkStart w:id="438" w:name="_Toc12959551"/>
      <w:bookmarkStart w:id="439" w:name="_Toc17273680"/>
      <w:r>
        <w:rPr>
          <w:rFonts w:hint="eastAsia"/>
        </w:rPr>
        <w:t>1  总  则</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
        <w:rPr>
          <w:rFonts w:hint="eastAsia"/>
          <w:b/>
        </w:rPr>
        <w:t>1</w:t>
      </w:r>
      <w:r>
        <w:rPr>
          <w:b/>
        </w:rPr>
        <w:t xml:space="preserve">.0.1  </w:t>
      </w:r>
      <w:r>
        <w:t>本条</w:t>
      </w:r>
      <w:r>
        <w:rPr>
          <w:rFonts w:hint="eastAsia"/>
        </w:rPr>
        <w:t>是编制本标准的目的。目前，装配式混凝土建筑发展较快，为保障装配式混凝土结构工程质量，明确和规范检测方法是非常重要和必要的。</w:t>
      </w:r>
    </w:p>
    <w:p>
      <w:r>
        <w:rPr>
          <w:rFonts w:hint="eastAsia"/>
          <w:b/>
        </w:rPr>
        <w:t>1.0.2</w:t>
      </w:r>
      <w:r>
        <w:rPr>
          <w:b/>
        </w:rPr>
        <w:t xml:space="preserve">  </w:t>
      </w:r>
      <w:r>
        <w:rPr>
          <w:rFonts w:hint="eastAsia"/>
        </w:rPr>
        <w:t>本条规定了本标准的使用范围。本标准主要适用于装配式混凝土结构施工阶段与竣工验收阶段的工程质量检测，使用阶段的工程质量检测可参照本标准执行。本标准同时也适用于部分非结构构件的质量检测，如预制隔墙等。</w:t>
      </w:r>
    </w:p>
    <w:p>
      <w:pPr>
        <w:sectPr>
          <w:pgSz w:w="7938" w:h="11510"/>
          <w:pgMar w:top="1083" w:right="1009" w:bottom="1083" w:left="1009" w:header="851" w:footer="992" w:gutter="0"/>
          <w:cols w:space="425" w:num="1"/>
          <w:docGrid w:type="lines" w:linePitch="312" w:charSpace="0"/>
        </w:sectPr>
      </w:pPr>
      <w:r>
        <w:rPr>
          <w:b/>
        </w:rPr>
        <w:t xml:space="preserve">1.0.3  </w:t>
      </w:r>
      <w:r>
        <w:rPr>
          <w:rFonts w:hint="eastAsia"/>
        </w:rPr>
        <w:t xml:space="preserve">装配式混凝土结构工程质量检测应按本标准规定执行，未规定事项按国家、行业和广东省现行相关标准执行。 </w:t>
      </w:r>
    </w:p>
    <w:p>
      <w:pPr>
        <w:pStyle w:val="2"/>
      </w:pPr>
      <w:bookmarkStart w:id="440" w:name="_Toc509393005"/>
      <w:bookmarkStart w:id="441" w:name="_Toc515287993"/>
      <w:bookmarkStart w:id="442" w:name="_Toc515373897"/>
      <w:bookmarkStart w:id="443" w:name="_Toc515373984"/>
      <w:bookmarkStart w:id="444" w:name="_Toc515375692"/>
      <w:bookmarkStart w:id="445" w:name="_Toc515375936"/>
      <w:bookmarkStart w:id="446" w:name="_Toc515377838"/>
      <w:bookmarkStart w:id="447" w:name="_Toc517274470"/>
      <w:bookmarkStart w:id="448" w:name="_Toc519588859"/>
      <w:bookmarkStart w:id="449" w:name="_Toc521495152"/>
      <w:bookmarkStart w:id="450" w:name="_Toc521594483"/>
      <w:bookmarkStart w:id="451" w:name="_Toc521597517"/>
      <w:bookmarkStart w:id="452" w:name="_Toc521656828"/>
      <w:bookmarkStart w:id="453" w:name="_Toc521664097"/>
      <w:bookmarkStart w:id="454" w:name="_Toc522031223"/>
      <w:bookmarkStart w:id="455" w:name="_Toc522089683"/>
      <w:bookmarkStart w:id="456" w:name="_Toc522289777"/>
      <w:bookmarkStart w:id="457" w:name="_Toc522289827"/>
      <w:bookmarkStart w:id="458" w:name="_Toc522627718"/>
      <w:bookmarkStart w:id="459" w:name="_Toc523216456"/>
      <w:bookmarkStart w:id="460" w:name="_Toc523216741"/>
      <w:bookmarkStart w:id="461" w:name="_Toc6317633"/>
      <w:bookmarkStart w:id="462" w:name="_Toc6324928"/>
      <w:bookmarkStart w:id="463" w:name="_Toc6469302"/>
      <w:bookmarkStart w:id="464" w:name="_Toc6675879"/>
      <w:bookmarkStart w:id="465" w:name="_Toc8726278"/>
      <w:bookmarkStart w:id="466" w:name="_Toc12868807"/>
      <w:bookmarkStart w:id="467" w:name="_Toc12958805"/>
      <w:bookmarkStart w:id="468" w:name="_Toc12959552"/>
      <w:bookmarkStart w:id="469" w:name="_Toc17273681"/>
      <w:r>
        <w:rPr>
          <w:rFonts w:hint="eastAsia"/>
          <w:b/>
        </w:rPr>
        <w:t>2</w:t>
      </w:r>
      <w:r>
        <w:rPr>
          <w:rFonts w:hint="eastAsia"/>
        </w:rPr>
        <w:t xml:space="preserve"> </w:t>
      </w:r>
      <w:r>
        <w:t xml:space="preserve"> </w:t>
      </w:r>
      <w:r>
        <w:rPr>
          <w:rFonts w:hint="eastAsia"/>
        </w:rPr>
        <w:t xml:space="preserve">术 </w:t>
      </w:r>
      <w:r>
        <w:t xml:space="preserve"> </w:t>
      </w:r>
      <w:r>
        <w:rPr>
          <w:rFonts w:hint="eastAsia"/>
        </w:rPr>
        <w:t>语</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ind w:firstLine="420" w:firstLineChars="200"/>
      </w:pPr>
      <w:r>
        <w:rPr>
          <w:rFonts w:hint="eastAsia"/>
        </w:rPr>
        <w:t>本章中给出的</w:t>
      </w:r>
      <w:r>
        <w:t>11</w:t>
      </w:r>
      <w:r>
        <w:rPr>
          <w:rFonts w:hint="eastAsia"/>
        </w:rPr>
        <w:t>个术语，是本标准有关章节中所引用的。</w:t>
      </w:r>
    </w:p>
    <w:p>
      <w:pPr>
        <w:ind w:firstLine="420" w:firstLineChars="200"/>
      </w:pPr>
      <w:r>
        <w:rPr>
          <w:rFonts w:hint="eastAsia"/>
        </w:rPr>
        <w:t>在编写本章术语时，主要参考《装配式混凝土建筑技术标准》GB/T 51231</w:t>
      </w:r>
      <w:r>
        <w:t>-2016</w:t>
      </w:r>
      <w:r>
        <w:rPr>
          <w:rFonts w:hint="eastAsia"/>
        </w:rPr>
        <w:t>、《建筑结构检测技术标准》GB 50</w:t>
      </w:r>
      <w:r>
        <w:t>34</w:t>
      </w:r>
      <w:r>
        <w:rPr>
          <w:rFonts w:hint="eastAsia"/>
        </w:rPr>
        <w:t>4-20</w:t>
      </w:r>
      <w:r>
        <w:t>04</w:t>
      </w:r>
      <w:r>
        <w:rPr>
          <w:rFonts w:hint="eastAsia"/>
        </w:rPr>
        <w:t xml:space="preserve">等国家标准和广东省《装配式混凝土建筑工程施工质量验收规范》DBJ/T </w:t>
      </w:r>
      <w:r>
        <w:t>DBJ/T 15-171-2019</w:t>
      </w:r>
      <w:r>
        <w:rPr>
          <w:rFonts w:hint="eastAsia"/>
        </w:rPr>
        <w:t>标准中的相关术语。</w:t>
      </w:r>
    </w:p>
    <w:p>
      <w:pPr>
        <w:ind w:firstLine="420" w:firstLineChars="200"/>
      </w:pPr>
      <w:r>
        <w:rPr>
          <w:rFonts w:hint="eastAsia"/>
        </w:rPr>
        <w:t>本标准的术语装配式混凝土结构工程检测的角度赋予其涵义的，还给出了相应的推荐性英文术语，供参考。</w:t>
      </w:r>
    </w:p>
    <w:p/>
    <w:p>
      <w:pPr>
        <w:ind w:firstLine="420" w:firstLineChars="200"/>
        <w:sectPr>
          <w:pgSz w:w="7938" w:h="11510"/>
          <w:pgMar w:top="1083" w:right="1009" w:bottom="1083" w:left="1009" w:header="851" w:footer="992" w:gutter="0"/>
          <w:cols w:space="425" w:num="1"/>
          <w:docGrid w:type="lines" w:linePitch="312" w:charSpace="0"/>
        </w:sectPr>
      </w:pPr>
    </w:p>
    <w:p>
      <w:pPr>
        <w:pStyle w:val="2"/>
      </w:pPr>
      <w:bookmarkStart w:id="470" w:name="_Toc509393006"/>
      <w:bookmarkStart w:id="471" w:name="_Toc515287994"/>
      <w:bookmarkStart w:id="472" w:name="_Toc515373898"/>
      <w:bookmarkStart w:id="473" w:name="_Toc515373985"/>
      <w:bookmarkStart w:id="474" w:name="_Toc515375693"/>
      <w:bookmarkStart w:id="475" w:name="_Toc515375937"/>
      <w:bookmarkStart w:id="476" w:name="_Toc515377839"/>
      <w:bookmarkStart w:id="477" w:name="_Toc517274471"/>
      <w:bookmarkStart w:id="478" w:name="_Toc519588860"/>
      <w:bookmarkStart w:id="479" w:name="_Toc521495153"/>
      <w:bookmarkStart w:id="480" w:name="_Toc521594486"/>
      <w:bookmarkStart w:id="481" w:name="_Toc521597520"/>
      <w:bookmarkStart w:id="482" w:name="_Toc521656831"/>
      <w:bookmarkStart w:id="483" w:name="_Toc521664100"/>
      <w:bookmarkStart w:id="484" w:name="_Toc522031226"/>
      <w:bookmarkStart w:id="485" w:name="_Toc522089686"/>
      <w:bookmarkStart w:id="486" w:name="_Toc522289780"/>
      <w:bookmarkStart w:id="487" w:name="_Toc522289830"/>
      <w:bookmarkStart w:id="488" w:name="_Toc522627721"/>
      <w:bookmarkStart w:id="489" w:name="_Toc523216459"/>
      <w:bookmarkStart w:id="490" w:name="_Toc523216742"/>
      <w:bookmarkStart w:id="491" w:name="_Toc6317634"/>
      <w:bookmarkStart w:id="492" w:name="_Toc6324929"/>
      <w:bookmarkStart w:id="493" w:name="_Toc6469303"/>
      <w:bookmarkStart w:id="494" w:name="_Toc6675880"/>
      <w:bookmarkStart w:id="495" w:name="_Toc8726279"/>
      <w:bookmarkStart w:id="496" w:name="_Toc12868808"/>
      <w:bookmarkStart w:id="497" w:name="_Toc12958806"/>
      <w:bookmarkStart w:id="498" w:name="_Toc12959553"/>
      <w:bookmarkStart w:id="499" w:name="_Toc17273682"/>
      <w:r>
        <w:rPr>
          <w:rFonts w:hint="eastAsia"/>
          <w:b/>
        </w:rPr>
        <w:t>3</w:t>
      </w:r>
      <w:r>
        <w:rPr>
          <w:b/>
        </w:rPr>
        <w:t xml:space="preserve"> </w:t>
      </w:r>
      <w:r>
        <w:rPr>
          <w:rFonts w:hint="eastAsia"/>
        </w:rPr>
        <w:t xml:space="preserve"> 基本规定</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
        <w:rPr>
          <w:rFonts w:hint="eastAsia"/>
          <w:b/>
        </w:rPr>
        <w:t>3</w:t>
      </w:r>
      <w:r>
        <w:rPr>
          <w:b/>
        </w:rPr>
        <w:t xml:space="preserve">.0.1  </w:t>
      </w:r>
      <w:r>
        <w:rPr>
          <w:rFonts w:hint="eastAsia"/>
        </w:rPr>
        <w:t>本条明确了装配式混凝土结构工程质量检测内容，不包括预制构件生产过程中的质量检测。当根据实际情况要求检测结构的模态特征和动力反应特性时，可开展结构动力测试，动力测试包括结构动力特性测试和结构动力反应测试。随着光纤和激光等检测技术的应用，能够较准确的量测结构构件施工阶段和使用阶段的内力、变形状况，这种安全性监测有助于保证施工安全和使用阶段的安全。</w:t>
      </w:r>
    </w:p>
    <w:p>
      <w:pPr>
        <w:rPr>
          <w:b/>
        </w:rPr>
      </w:pPr>
      <w:r>
        <w:rPr>
          <w:rFonts w:hint="eastAsia"/>
          <w:b/>
        </w:rPr>
        <w:t>3</w:t>
      </w:r>
      <w:r>
        <w:rPr>
          <w:b/>
        </w:rPr>
        <w:t xml:space="preserve">.0.2  </w:t>
      </w:r>
      <w:r>
        <w:rPr>
          <w:rFonts w:hint="eastAsia"/>
        </w:rPr>
        <w:t>本条规定了进行装配式混凝土结构检测的几种情况。对出现的其他特殊情况，应根据设计或项目管理方的要求，确定是否进行检测。</w:t>
      </w:r>
    </w:p>
    <w:p>
      <w:pPr>
        <w:rPr>
          <w:b/>
        </w:rPr>
      </w:pPr>
      <w:r>
        <w:rPr>
          <w:b/>
        </w:rPr>
        <w:t xml:space="preserve">3.0.3  </w:t>
      </w:r>
      <w:r>
        <w:rPr>
          <w:rFonts w:hint="eastAsia"/>
        </w:rPr>
        <w:t>本条是对建筑结构检测工作的基本要求。</w:t>
      </w:r>
    </w:p>
    <w:p>
      <w:r>
        <w:rPr>
          <w:rFonts w:hint="eastAsia"/>
          <w:b/>
        </w:rPr>
        <w:t>3</w:t>
      </w:r>
      <w:r>
        <w:rPr>
          <w:b/>
        </w:rPr>
        <w:t>.0.4</w:t>
      </w:r>
      <w:r>
        <w:rPr>
          <w:rFonts w:hint="eastAsia"/>
          <w:b/>
        </w:rPr>
        <w:t xml:space="preserve"> </w:t>
      </w:r>
      <w:r>
        <w:rPr>
          <w:b/>
        </w:rPr>
        <w:t xml:space="preserve"> </w:t>
      </w:r>
      <w:r>
        <w:rPr>
          <w:rFonts w:hint="eastAsia"/>
        </w:rPr>
        <w:t>建筑结构检测工作程序是对检测工作全过程和几个主要阶段的阐述。程序框图中装配式混凝土建筑结构检测从接受委托到出具检测报告的各环节都是必不可少的。</w:t>
      </w:r>
    </w:p>
    <w:p>
      <w:r>
        <w:rPr>
          <w:rFonts w:hint="eastAsia"/>
          <w:b/>
        </w:rPr>
        <w:t>3</w:t>
      </w:r>
      <w:r>
        <w:rPr>
          <w:b/>
        </w:rPr>
        <w:t>.0.5</w:t>
      </w:r>
      <w:r>
        <w:t xml:space="preserve">  </w:t>
      </w:r>
      <w:r>
        <w:rPr>
          <w:rFonts w:hint="eastAsia"/>
        </w:rPr>
        <w:t>对建筑结构现场检测取样运回到试验室测试的样品，应符合样品标识、传递、安全储存等规定。</w:t>
      </w:r>
    </w:p>
    <w:p>
      <w:r>
        <w:rPr>
          <w:b/>
        </w:rPr>
        <w:t>3.0.7</w:t>
      </w:r>
      <w:r>
        <w:t xml:space="preserve">  </w:t>
      </w:r>
      <w:r>
        <w:rPr>
          <w:rFonts w:hint="eastAsia"/>
        </w:rPr>
        <w:t>规定可用于建筑结构检测的四类检测方法，其目的是鼓励采用先进的检测方法、开发新的检测技术和使检测方法标准化。</w:t>
      </w:r>
    </w:p>
    <w:p>
      <w:r>
        <w:rPr>
          <w:rFonts w:hint="eastAsia"/>
          <w:b/>
        </w:rPr>
        <w:t>3</w:t>
      </w:r>
      <w:r>
        <w:rPr>
          <w:b/>
        </w:rPr>
        <w:t>.0.8</w:t>
      </w:r>
      <w:r>
        <w:t xml:space="preserve">  </w:t>
      </w:r>
      <w:r>
        <w:rPr>
          <w:rFonts w:hint="eastAsia"/>
        </w:rPr>
        <w:t>随着装配式建筑的快速发展，新的检测仪器、检测技术及检测方法不断出现，新开发和引进的检测方法和仪器应通过技术鉴定，并应与已有的检测方法和仪器进行比对试验和验证。此外，新开发和引进的检测方法应有相应的检测细则。</w:t>
      </w:r>
    </w:p>
    <w:p>
      <w:r>
        <w:rPr>
          <w:b/>
        </w:rPr>
        <w:t>3.0.9</w:t>
      </w:r>
      <w:r>
        <w:t xml:space="preserve">  </w:t>
      </w:r>
      <w:r>
        <w:rPr>
          <w:rFonts w:hint="eastAsia"/>
        </w:rPr>
        <w:t>采用局部破损检测方法和原位检测方法时，应注意不应构成结构或构件的安全问题。</w:t>
      </w:r>
    </w:p>
    <w:p>
      <w:pPr>
        <w:rPr>
          <w:b/>
        </w:rPr>
      </w:pPr>
      <w:r>
        <w:rPr>
          <w:rFonts w:hint="eastAsia"/>
          <w:b/>
        </w:rPr>
        <w:t>3</w:t>
      </w:r>
      <w:r>
        <w:rPr>
          <w:b/>
        </w:rPr>
        <w:t xml:space="preserve">.0.10  </w:t>
      </w:r>
      <w:r>
        <w:rPr>
          <w:rFonts w:hint="eastAsia"/>
        </w:rPr>
        <w:t>开展装配式混凝土结构检测时，应优先选用科学合理、无损、简单直观的检测方法。抽样方案应符合国家、行业及地方相关标准的规定。</w:t>
      </w:r>
    </w:p>
    <w:p>
      <w:r>
        <w:rPr>
          <w:rFonts w:hint="eastAsia"/>
          <w:b/>
        </w:rPr>
        <w:t>3</w:t>
      </w:r>
      <w:r>
        <w:rPr>
          <w:b/>
        </w:rPr>
        <w:t>.0.11</w:t>
      </w:r>
      <w:r>
        <w:t xml:space="preserve">  </w:t>
      </w:r>
      <w:r>
        <w:rPr>
          <w:rFonts w:hint="eastAsia"/>
        </w:rPr>
        <w:t>本标准对建筑结构检测结果及评定提出了具体的要求，此外，其他标准也有相应的要求。由于建筑结构工程质量的检测是为了确定所检测的建筑结构的质量是否满足设计文件和验收的要求，因此，检测报告中应做出检测项目是否满足这些要求的结论。</w:t>
      </w:r>
    </w:p>
    <w:p>
      <w:r>
        <w:rPr>
          <w:rFonts w:hint="eastAsia"/>
          <w:b/>
        </w:rPr>
        <w:t>3</w:t>
      </w:r>
      <w:r>
        <w:rPr>
          <w:b/>
        </w:rPr>
        <w:t>.0.12</w:t>
      </w:r>
      <w:r>
        <w:t xml:space="preserve">  </w:t>
      </w:r>
      <w:r>
        <w:rPr>
          <w:rFonts w:hint="eastAsia"/>
        </w:rPr>
        <w:t>为了使检测报告表达清楚和规范，本条强调了检测报告结论的准确性。</w:t>
      </w:r>
    </w:p>
    <w:p>
      <w:pPr>
        <w:sectPr>
          <w:pgSz w:w="7938" w:h="11510"/>
          <w:pgMar w:top="1083" w:right="1009" w:bottom="1083" w:left="1009" w:header="851" w:footer="992" w:gutter="0"/>
          <w:cols w:space="425" w:num="1"/>
          <w:docGrid w:type="lines" w:linePitch="312" w:charSpace="0"/>
        </w:sectPr>
      </w:pPr>
      <w:r>
        <w:rPr>
          <w:rFonts w:hint="eastAsia"/>
          <w:b/>
        </w:rPr>
        <w:t>3</w:t>
      </w:r>
      <w:r>
        <w:rPr>
          <w:b/>
        </w:rPr>
        <w:t>.0.13</w:t>
      </w:r>
      <w:r>
        <w:t xml:space="preserve">  </w:t>
      </w:r>
      <w:r>
        <w:rPr>
          <w:rFonts w:hint="eastAsia"/>
        </w:rPr>
        <w:t>本条对装配式混凝土结构检测单位、检测人员及所用的仪器设备提出了要求。</w:t>
      </w:r>
    </w:p>
    <w:p>
      <w:pPr>
        <w:pStyle w:val="2"/>
      </w:pPr>
      <w:bookmarkStart w:id="500" w:name="_Toc521664101"/>
      <w:bookmarkStart w:id="501" w:name="_Toc522031227"/>
      <w:bookmarkStart w:id="502" w:name="_Toc522089687"/>
      <w:bookmarkStart w:id="503" w:name="_Toc522289781"/>
      <w:bookmarkStart w:id="504" w:name="_Toc522289831"/>
      <w:bookmarkStart w:id="505" w:name="_Toc522627722"/>
      <w:bookmarkStart w:id="506" w:name="_Toc523216460"/>
      <w:bookmarkStart w:id="507" w:name="_Toc523216743"/>
      <w:bookmarkStart w:id="508" w:name="_Toc6317635"/>
      <w:bookmarkStart w:id="509" w:name="_Toc6324930"/>
      <w:bookmarkStart w:id="510" w:name="_Toc6469304"/>
      <w:bookmarkStart w:id="511" w:name="_Toc6675881"/>
      <w:bookmarkStart w:id="512" w:name="_Toc8726280"/>
      <w:bookmarkStart w:id="513" w:name="_Toc12868809"/>
      <w:bookmarkStart w:id="514" w:name="_Toc12958807"/>
      <w:bookmarkStart w:id="515" w:name="_Toc12959554"/>
      <w:bookmarkStart w:id="516" w:name="_Toc17273683"/>
      <w:r>
        <w:rPr>
          <w:rFonts w:hint="eastAsia"/>
        </w:rPr>
        <w:t>4  材料</w:t>
      </w:r>
      <w:bookmarkEnd w:id="500"/>
      <w:bookmarkEnd w:id="501"/>
      <w:bookmarkEnd w:id="502"/>
      <w:bookmarkEnd w:id="503"/>
      <w:bookmarkEnd w:id="504"/>
      <w:bookmarkEnd w:id="505"/>
      <w:bookmarkEnd w:id="506"/>
      <w:bookmarkEnd w:id="507"/>
      <w:bookmarkEnd w:id="508"/>
      <w:bookmarkEnd w:id="509"/>
      <w:bookmarkEnd w:id="510"/>
      <w:bookmarkEnd w:id="511"/>
      <w:bookmarkEnd w:id="512"/>
      <w:r>
        <w:rPr>
          <w:rFonts w:hint="eastAsia"/>
        </w:rPr>
        <w:t>检测</w:t>
      </w:r>
      <w:bookmarkEnd w:id="513"/>
      <w:bookmarkEnd w:id="514"/>
      <w:bookmarkEnd w:id="515"/>
      <w:bookmarkEnd w:id="516"/>
    </w:p>
    <w:p>
      <w:pPr>
        <w:pStyle w:val="3"/>
      </w:pPr>
      <w:bookmarkStart w:id="517" w:name="_Toc6317636"/>
      <w:bookmarkStart w:id="518" w:name="_Toc6324931"/>
      <w:bookmarkStart w:id="519" w:name="_Toc6469305"/>
      <w:bookmarkStart w:id="520" w:name="_Toc6675882"/>
      <w:bookmarkStart w:id="521" w:name="_Toc8726281"/>
      <w:bookmarkStart w:id="522" w:name="_Toc12868810"/>
      <w:bookmarkStart w:id="523" w:name="_Toc12958808"/>
      <w:bookmarkStart w:id="524" w:name="_Toc12959555"/>
      <w:bookmarkStart w:id="525" w:name="_Toc17273684"/>
      <w:r>
        <w:rPr>
          <w:rFonts w:hint="eastAsia"/>
          <w:b/>
        </w:rPr>
        <w:t>4.1</w:t>
      </w:r>
      <w:r>
        <w:t xml:space="preserve">  </w:t>
      </w:r>
      <w:r>
        <w:rPr>
          <w:rFonts w:hint="eastAsia"/>
        </w:rPr>
        <w:t>一般规定</w:t>
      </w:r>
      <w:bookmarkEnd w:id="517"/>
      <w:bookmarkEnd w:id="518"/>
      <w:bookmarkEnd w:id="519"/>
      <w:bookmarkEnd w:id="520"/>
      <w:bookmarkEnd w:id="521"/>
      <w:bookmarkEnd w:id="522"/>
      <w:bookmarkEnd w:id="523"/>
      <w:bookmarkEnd w:id="524"/>
      <w:bookmarkEnd w:id="525"/>
    </w:p>
    <w:p>
      <w:r>
        <w:rPr>
          <w:rFonts w:hint="eastAsia"/>
          <w:b/>
        </w:rPr>
        <w:t>4.1.1</w:t>
      </w:r>
      <w:r>
        <w:rPr>
          <w:rFonts w:hint="eastAsia"/>
        </w:rPr>
        <w:t xml:space="preserve"> </w:t>
      </w:r>
      <w:r>
        <w:t xml:space="preserve"> </w:t>
      </w:r>
      <w:r>
        <w:rPr>
          <w:rFonts w:hint="eastAsia"/>
        </w:rPr>
        <w:t>本条说明了本标准中的材料检测有别于原材料的进厂（场）检测，主要是指</w:t>
      </w:r>
      <w:bookmarkStart w:id="526" w:name="_Hlk16673139"/>
      <w:r>
        <w:rPr>
          <w:rFonts w:hint="eastAsia"/>
        </w:rPr>
        <w:t>安装施工过程中</w:t>
      </w:r>
      <w:bookmarkEnd w:id="526"/>
      <w:r>
        <w:rPr>
          <w:rFonts w:hint="eastAsia"/>
        </w:rPr>
        <w:t>所用材料的检测。</w:t>
      </w:r>
    </w:p>
    <w:p>
      <w:r>
        <w:rPr>
          <w:rFonts w:hint="eastAsia"/>
          <w:b/>
        </w:rPr>
        <w:t>4.1.2</w:t>
      </w:r>
      <w:r>
        <w:rPr>
          <w:rFonts w:hint="eastAsia"/>
        </w:rPr>
        <w:t xml:space="preserve"> </w:t>
      </w:r>
      <w:r>
        <w:t xml:space="preserve"> </w:t>
      </w:r>
      <w:r>
        <w:rPr>
          <w:rFonts w:hint="eastAsia"/>
        </w:rPr>
        <w:t>本条说明了本标准中的材料检测种类。</w:t>
      </w:r>
    </w:p>
    <w:p>
      <w:pPr>
        <w:pStyle w:val="3"/>
      </w:pPr>
      <w:bookmarkStart w:id="527" w:name="_Toc6317637"/>
      <w:bookmarkStart w:id="528" w:name="_Toc6324932"/>
      <w:bookmarkStart w:id="529" w:name="_Toc6469306"/>
      <w:bookmarkStart w:id="530" w:name="_Toc6675883"/>
      <w:bookmarkStart w:id="531" w:name="_Toc8726282"/>
      <w:bookmarkStart w:id="532" w:name="_Toc12868811"/>
      <w:bookmarkStart w:id="533" w:name="_Toc12958809"/>
      <w:bookmarkStart w:id="534" w:name="_Toc12959556"/>
      <w:bookmarkStart w:id="535" w:name="_Toc17273685"/>
      <w:r>
        <w:rPr>
          <w:rFonts w:hint="eastAsia"/>
          <w:b/>
        </w:rPr>
        <w:t>4.2</w:t>
      </w:r>
      <w:r>
        <w:rPr>
          <w:rFonts w:hint="eastAsia"/>
        </w:rPr>
        <w:t xml:space="preserve"> </w:t>
      </w:r>
      <w:r>
        <w:t xml:space="preserve"> </w:t>
      </w:r>
      <w:r>
        <w:rPr>
          <w:rFonts w:hint="eastAsia"/>
        </w:rPr>
        <w:t>混凝土</w:t>
      </w:r>
      <w:bookmarkEnd w:id="527"/>
      <w:bookmarkEnd w:id="528"/>
      <w:bookmarkEnd w:id="529"/>
      <w:bookmarkEnd w:id="530"/>
      <w:bookmarkEnd w:id="531"/>
      <w:bookmarkEnd w:id="532"/>
      <w:bookmarkEnd w:id="533"/>
      <w:bookmarkEnd w:id="534"/>
      <w:bookmarkEnd w:id="535"/>
    </w:p>
    <w:p>
      <w:r>
        <w:rPr>
          <w:rFonts w:hint="eastAsia"/>
          <w:b/>
        </w:rPr>
        <w:t>4.2.2</w:t>
      </w:r>
      <w:r>
        <w:rPr>
          <w:rFonts w:hint="eastAsia"/>
        </w:rPr>
        <w:t xml:space="preserve"> </w:t>
      </w:r>
      <w:r>
        <w:t xml:space="preserve"> </w:t>
      </w:r>
      <w:r>
        <w:rPr>
          <w:rFonts w:hint="eastAsia"/>
          <w:color w:val="000000" w:themeColor="text1"/>
          <w14:textFill>
            <w14:solidFill>
              <w14:schemeClr w14:val="tx1"/>
            </w14:solidFill>
          </w14:textFill>
        </w:rPr>
        <w:t>对装配式混凝土结构中的现浇部分，应按要求检测预留混凝土立方体试块的抗压强度，确保现浇混凝土质量合格。施工后对预留混凝土试块检测结果存在争议时，应进一步检测实体中混凝土的抗压强度。</w:t>
      </w:r>
    </w:p>
    <w:p>
      <w:r>
        <w:rPr>
          <w:rFonts w:hint="eastAsia"/>
          <w:b/>
        </w:rPr>
        <w:t>4.2.3</w:t>
      </w:r>
      <w:r>
        <w:rPr>
          <w:rFonts w:hint="eastAsia"/>
        </w:rPr>
        <w:t xml:space="preserve"> </w:t>
      </w:r>
      <w:r>
        <w:t xml:space="preserve"> </w:t>
      </w:r>
      <w:r>
        <w:rPr>
          <w:rFonts w:hint="eastAsia"/>
        </w:rPr>
        <w:t>混凝土长期性能和耐久性能包括抗渗性能、抗氯离子渗透性能等。对抗水渗透试件检测结果存在争议时，应进一步检测实体中混凝土的抗水渗透性能，检测方法按现行广东省标准《混凝土技术规范》DBJ 15-109执行。</w:t>
      </w:r>
    </w:p>
    <w:p>
      <w:r>
        <w:rPr>
          <w:rFonts w:hint="eastAsia"/>
          <w:b/>
        </w:rPr>
        <w:t>4.2.4</w:t>
      </w:r>
      <w:r>
        <w:rPr>
          <w:rFonts w:hint="eastAsia"/>
        </w:rPr>
        <w:t xml:space="preserve"> </w:t>
      </w:r>
      <w:r>
        <w:t xml:space="preserve"> </w:t>
      </w:r>
      <w:r>
        <w:rPr>
          <w:rFonts w:hint="eastAsia"/>
        </w:rPr>
        <w:t>混凝土中氯离子含量检测包括拌合物氯离子含量和硬化氯离子含量。</w:t>
      </w:r>
    </w:p>
    <w:p>
      <w:pPr>
        <w:pStyle w:val="3"/>
        <w:rPr>
          <w:rStyle w:val="36"/>
          <w:bCs w:val="0"/>
        </w:rPr>
      </w:pPr>
      <w:bookmarkStart w:id="536" w:name="_Toc6317638"/>
      <w:bookmarkStart w:id="537" w:name="_Toc6324933"/>
      <w:bookmarkStart w:id="538" w:name="_Toc6469307"/>
      <w:bookmarkStart w:id="539" w:name="_Toc6675884"/>
      <w:bookmarkStart w:id="540" w:name="_Toc8726283"/>
      <w:bookmarkStart w:id="541" w:name="_Toc12868812"/>
      <w:bookmarkStart w:id="542" w:name="_Toc12958810"/>
      <w:bookmarkStart w:id="543" w:name="_Toc12959557"/>
      <w:bookmarkStart w:id="544" w:name="_Toc17273686"/>
      <w:r>
        <w:rPr>
          <w:rFonts w:hint="eastAsia"/>
          <w:b/>
        </w:rPr>
        <w:t>4.4</w:t>
      </w:r>
      <w:r>
        <w:t xml:space="preserve">  </w:t>
      </w:r>
      <w:r>
        <w:rPr>
          <w:rFonts w:hint="eastAsia"/>
        </w:rPr>
        <w:t>连接材料</w:t>
      </w:r>
      <w:bookmarkEnd w:id="536"/>
      <w:bookmarkEnd w:id="537"/>
      <w:bookmarkEnd w:id="538"/>
      <w:bookmarkEnd w:id="539"/>
      <w:bookmarkEnd w:id="540"/>
      <w:bookmarkEnd w:id="541"/>
      <w:bookmarkEnd w:id="542"/>
      <w:bookmarkEnd w:id="543"/>
      <w:bookmarkEnd w:id="544"/>
    </w:p>
    <w:p>
      <w:r>
        <w:rPr>
          <w:rFonts w:hint="eastAsia"/>
          <w:b/>
        </w:rPr>
        <w:t>4.4.3</w:t>
      </w:r>
      <w:r>
        <w:t xml:space="preserve">  </w:t>
      </w:r>
      <w:r>
        <w:rPr>
          <w:rFonts w:hint="eastAsia"/>
        </w:rPr>
        <w:t>现行行业标准《钢筋连接用套筒灌浆料》JG/T 408以附录的形式专门给出了套筒灌浆料拌合物抗压强度的检测方法，应严格执行；目前还没有专门针对浆锚搭接灌浆料的技术标准，其抗压强度检测按现行国家标准《水泥基灌浆材料应用技术规范》GB/T 50448执行。</w:t>
      </w:r>
    </w:p>
    <w:p>
      <w:r>
        <w:rPr>
          <w:rFonts w:hint="eastAsia"/>
          <w:b/>
        </w:rPr>
        <w:t>4.4.4</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实际工程中座浆料的用量不像灌浆料那样大，目前还没有相关标准形成。根据现行行业标准《建筑砂浆基本性能试验方法标准》JGJ/T 70的规定，对座浆料</w:t>
      </w:r>
      <w:r>
        <w:rPr>
          <w:rFonts w:hint="eastAsia"/>
        </w:rPr>
        <w:t>拌合物应制作边长为70.7mm的立方体试件，标准养护28d后进行抗压强度试验。</w:t>
      </w:r>
    </w:p>
    <w:p>
      <w:r>
        <w:rPr>
          <w:rFonts w:hint="eastAsia"/>
          <w:b/>
        </w:rPr>
        <w:t>4.</w:t>
      </w:r>
      <w:r>
        <w:rPr>
          <w:b/>
        </w:rPr>
        <w:t>4</w:t>
      </w:r>
      <w:r>
        <w:rPr>
          <w:rFonts w:hint="eastAsia"/>
          <w:b/>
        </w:rPr>
        <w:t>.</w:t>
      </w:r>
      <w:r>
        <w:rPr>
          <w:b/>
        </w:rPr>
        <w:t>9</w:t>
      </w:r>
      <w:r>
        <w:t xml:space="preserve">  </w:t>
      </w:r>
      <w:r>
        <w:rPr>
          <w:rFonts w:hint="eastAsia"/>
        </w:rPr>
        <w:t>根据现行国家标准《钢结构工程施工质量验收规范》GB 50205，紧固件主要包括普通螺栓、扭剪型高强度螺栓、高强度大六角头螺栓及射钉、自攻钉、拉铆钉等。</w:t>
      </w:r>
    </w:p>
    <w:p>
      <w:pPr>
        <w:jc w:val="center"/>
        <w:rPr>
          <w:b/>
        </w:rPr>
        <w:sectPr>
          <w:pgSz w:w="7938" w:h="11510"/>
          <w:pgMar w:top="1083" w:right="1009" w:bottom="1083" w:left="1009" w:header="851" w:footer="992" w:gutter="0"/>
          <w:cols w:space="425" w:num="1"/>
          <w:docGrid w:type="lines" w:linePitch="312" w:charSpace="0"/>
        </w:sectPr>
      </w:pPr>
    </w:p>
    <w:p>
      <w:pPr>
        <w:pStyle w:val="2"/>
      </w:pPr>
      <w:bookmarkStart w:id="545" w:name="_Toc521664102"/>
      <w:bookmarkStart w:id="546" w:name="_Toc522031228"/>
      <w:bookmarkStart w:id="547" w:name="_Toc522089688"/>
      <w:bookmarkStart w:id="548" w:name="_Toc522289782"/>
      <w:bookmarkStart w:id="549" w:name="_Toc522289832"/>
      <w:bookmarkStart w:id="550" w:name="_Toc522627723"/>
      <w:bookmarkStart w:id="551" w:name="_Toc523216461"/>
      <w:bookmarkStart w:id="552" w:name="_Toc523216744"/>
      <w:bookmarkStart w:id="553" w:name="_Toc6317639"/>
      <w:bookmarkStart w:id="554" w:name="_Toc6324934"/>
      <w:bookmarkStart w:id="555" w:name="_Toc6469308"/>
      <w:bookmarkStart w:id="556" w:name="_Toc6675885"/>
      <w:bookmarkStart w:id="557" w:name="_Toc8726284"/>
      <w:bookmarkStart w:id="558" w:name="_Toc12868813"/>
      <w:bookmarkStart w:id="559" w:name="_Toc12958811"/>
      <w:bookmarkStart w:id="560" w:name="_Toc12959558"/>
      <w:bookmarkStart w:id="561" w:name="_Toc17273687"/>
      <w:r>
        <w:rPr>
          <w:rFonts w:hint="eastAsia"/>
        </w:rPr>
        <w:t>5</w:t>
      </w:r>
      <w:r>
        <w:t xml:space="preserve">  </w:t>
      </w:r>
      <w:r>
        <w:rPr>
          <w:rFonts w:hint="eastAsia"/>
        </w:rPr>
        <w:t>预制构件进场</w:t>
      </w:r>
      <w:bookmarkEnd w:id="545"/>
      <w:bookmarkEnd w:id="546"/>
      <w:bookmarkEnd w:id="547"/>
      <w:bookmarkEnd w:id="548"/>
      <w:bookmarkEnd w:id="549"/>
      <w:bookmarkEnd w:id="550"/>
      <w:bookmarkEnd w:id="551"/>
      <w:bookmarkEnd w:id="552"/>
      <w:bookmarkEnd w:id="553"/>
      <w:bookmarkEnd w:id="554"/>
      <w:bookmarkEnd w:id="555"/>
      <w:r>
        <w:rPr>
          <w:rFonts w:hint="eastAsia"/>
        </w:rPr>
        <w:t>检测</w:t>
      </w:r>
      <w:bookmarkEnd w:id="556"/>
      <w:bookmarkEnd w:id="557"/>
      <w:bookmarkEnd w:id="558"/>
      <w:bookmarkEnd w:id="559"/>
      <w:bookmarkEnd w:id="560"/>
      <w:bookmarkEnd w:id="561"/>
    </w:p>
    <w:p>
      <w:pPr>
        <w:pStyle w:val="3"/>
      </w:pPr>
      <w:bookmarkStart w:id="562" w:name="_Toc521664103"/>
      <w:bookmarkStart w:id="563" w:name="_Toc522031229"/>
      <w:bookmarkStart w:id="564" w:name="_Toc522089689"/>
      <w:bookmarkStart w:id="565" w:name="_Toc522289783"/>
      <w:bookmarkStart w:id="566" w:name="_Toc522289833"/>
      <w:bookmarkStart w:id="567" w:name="_Toc522627724"/>
      <w:bookmarkStart w:id="568" w:name="_Toc523216462"/>
      <w:bookmarkStart w:id="569" w:name="_Toc523216745"/>
      <w:bookmarkStart w:id="570" w:name="_Toc6317640"/>
      <w:bookmarkStart w:id="571" w:name="_Toc6324935"/>
      <w:bookmarkStart w:id="572" w:name="_Toc6469309"/>
      <w:bookmarkStart w:id="573" w:name="_Toc6675886"/>
      <w:bookmarkStart w:id="574" w:name="_Toc8726285"/>
      <w:bookmarkStart w:id="575" w:name="_Toc12868814"/>
      <w:bookmarkStart w:id="576" w:name="_Toc12958812"/>
      <w:bookmarkStart w:id="577" w:name="_Toc12959559"/>
      <w:bookmarkStart w:id="578" w:name="_Toc17273688"/>
      <w:r>
        <w:rPr>
          <w:rFonts w:hint="eastAsia"/>
          <w:b/>
        </w:rPr>
        <w:t>5</w:t>
      </w:r>
      <w:r>
        <w:rPr>
          <w:b/>
        </w:rPr>
        <w:t>.1</w:t>
      </w:r>
      <w:r>
        <w:t xml:space="preserve">  </w:t>
      </w:r>
      <w:r>
        <w:rPr>
          <w:rFonts w:hint="eastAsia"/>
        </w:rPr>
        <w:t>一般规定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rPr>
          <w:b/>
        </w:rPr>
      </w:pPr>
      <w:r>
        <w:rPr>
          <w:b/>
        </w:rPr>
        <w:t xml:space="preserve">5.1.1  </w:t>
      </w:r>
      <w:bookmarkStart w:id="579" w:name="_Hlk6585078"/>
      <w:r>
        <w:t>本条</w:t>
      </w:r>
      <w:r>
        <w:rPr>
          <w:rFonts w:hint="eastAsia"/>
        </w:rPr>
        <w:t>规定了本章的适用范围。</w:t>
      </w:r>
      <w:bookmarkEnd w:id="579"/>
    </w:p>
    <w:p>
      <w:pPr>
        <w:rPr>
          <w:b/>
        </w:rPr>
      </w:pPr>
      <w:r>
        <w:rPr>
          <w:rFonts w:hint="eastAsia"/>
          <w:b/>
        </w:rPr>
        <w:t>5</w:t>
      </w:r>
      <w:r>
        <w:rPr>
          <w:b/>
        </w:rPr>
        <w:t xml:space="preserve">.1.2  </w:t>
      </w:r>
      <w:r>
        <w:rPr>
          <w:rFonts w:hint="eastAsia"/>
        </w:rPr>
        <w:t>本章明确了进场预制构件质量检测内容。现行国家、行业标准有规定的内容，可按照相关规定执行，未作规定的内容，应按照本标准的规定执行。</w:t>
      </w:r>
    </w:p>
    <w:p>
      <w:pPr>
        <w:pStyle w:val="3"/>
      </w:pPr>
      <w:bookmarkStart w:id="580" w:name="_Toc522289784"/>
      <w:bookmarkStart w:id="581" w:name="_Toc522289834"/>
      <w:bookmarkStart w:id="582" w:name="_Toc522627725"/>
      <w:bookmarkStart w:id="583" w:name="_Toc523216463"/>
      <w:bookmarkStart w:id="584" w:name="_Toc523216746"/>
      <w:bookmarkStart w:id="585" w:name="_Toc6317641"/>
      <w:bookmarkStart w:id="586" w:name="_Toc6324936"/>
      <w:bookmarkStart w:id="587" w:name="_Toc6469310"/>
      <w:bookmarkStart w:id="588" w:name="_Toc6675887"/>
      <w:bookmarkStart w:id="589" w:name="_Toc8726286"/>
      <w:bookmarkStart w:id="590" w:name="_Toc12868815"/>
      <w:bookmarkStart w:id="591" w:name="_Toc12958813"/>
      <w:bookmarkStart w:id="592" w:name="_Toc12959560"/>
      <w:bookmarkStart w:id="593" w:name="_Toc17273689"/>
      <w:r>
        <w:rPr>
          <w:rFonts w:hint="eastAsia"/>
          <w:b/>
        </w:rPr>
        <w:t>5</w:t>
      </w:r>
      <w:r>
        <w:rPr>
          <w:b/>
        </w:rPr>
        <w:t>.2</w:t>
      </w:r>
      <w:r>
        <w:t xml:space="preserve">  </w:t>
      </w:r>
      <w:r>
        <w:rPr>
          <w:rFonts w:hint="eastAsia"/>
        </w:rPr>
        <w:t>混凝土强度</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
        <w:rPr>
          <w:rFonts w:hint="eastAsia"/>
          <w:b/>
        </w:rPr>
        <w:t>5</w:t>
      </w:r>
      <w:r>
        <w:rPr>
          <w:b/>
        </w:rPr>
        <w:t>.2.1</w:t>
      </w:r>
      <w:r>
        <w:t xml:space="preserve">  </w:t>
      </w:r>
      <w:r>
        <w:rPr>
          <w:rFonts w:hint="eastAsia"/>
        </w:rPr>
        <w:t>采用非破损或局部破损检测方法进行结构或构件混凝土抗压强度的检测，是减少检测工作给结构带来不利的影响。预制构件混凝土抗压强度检测优先使用非破损检测方法，除非不满足非破损检测方法的检测条件，方可考虑微破损或破损检测法。</w:t>
      </w:r>
    </w:p>
    <w:p>
      <w:r>
        <w:rPr>
          <w:b/>
        </w:rPr>
        <w:t>5.2.2</w:t>
      </w:r>
      <w:r>
        <w:t xml:space="preserve">  </w:t>
      </w:r>
      <w:r>
        <w:rPr>
          <w:rFonts w:hint="eastAsia"/>
        </w:rPr>
        <w:t>本条提出了混凝土抗拉强度检测方法。《混凝土结构设计规范》GB 5001</w:t>
      </w:r>
      <w:r>
        <w:t>0</w:t>
      </w:r>
      <w:r>
        <w:rPr>
          <w:rFonts w:hint="eastAsia"/>
        </w:rPr>
        <w:t>中给出的混凝土抗压强度与抗拉强度的关系是宏观的统计关系，对于具体结构的混凝土来说，该关系不一定适用，在特定情况下应该检测结构混凝土的抗拉强度。</w:t>
      </w:r>
    </w:p>
    <w:p>
      <w:pPr>
        <w:pStyle w:val="3"/>
      </w:pPr>
      <w:bookmarkStart w:id="594" w:name="_Toc522289785"/>
      <w:bookmarkStart w:id="595" w:name="_Toc522289835"/>
      <w:bookmarkStart w:id="596" w:name="_Toc522627726"/>
      <w:bookmarkStart w:id="597" w:name="_Toc523216464"/>
      <w:bookmarkStart w:id="598" w:name="_Toc523216747"/>
      <w:bookmarkStart w:id="599" w:name="_Toc6317642"/>
      <w:bookmarkStart w:id="600" w:name="_Toc6324937"/>
      <w:bookmarkStart w:id="601" w:name="_Toc6469311"/>
      <w:bookmarkStart w:id="602" w:name="_Toc6675888"/>
      <w:bookmarkStart w:id="603" w:name="_Toc8726287"/>
      <w:bookmarkStart w:id="604" w:name="_Toc12868816"/>
      <w:bookmarkStart w:id="605" w:name="_Toc12958814"/>
      <w:bookmarkStart w:id="606" w:name="_Toc12959561"/>
      <w:bookmarkStart w:id="607" w:name="_Toc17273690"/>
      <w:r>
        <w:rPr>
          <w:rFonts w:hint="eastAsia"/>
          <w:b/>
        </w:rPr>
        <w:t>5</w:t>
      </w:r>
      <w:r>
        <w:rPr>
          <w:b/>
        </w:rPr>
        <w:t>.3</w:t>
      </w:r>
      <w:r>
        <w:t xml:space="preserve">  </w:t>
      </w:r>
      <w:r>
        <w:rPr>
          <w:rFonts w:hint="eastAsia"/>
        </w:rPr>
        <w:t>构件缺陷</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
        <w:rPr>
          <w:rFonts w:hint="eastAsia"/>
          <w:b/>
        </w:rPr>
        <w:t>5</w:t>
      </w:r>
      <w:r>
        <w:rPr>
          <w:b/>
        </w:rPr>
        <w:t>.3.1</w:t>
      </w:r>
      <w:r>
        <w:t xml:space="preserve">  </w:t>
      </w:r>
      <w:r>
        <w:rPr>
          <w:rFonts w:hint="eastAsia"/>
        </w:rPr>
        <w:t>本条规定了预制构件缺陷的检测项目。</w:t>
      </w:r>
    </w:p>
    <w:p>
      <w:r>
        <w:rPr>
          <w:rFonts w:hint="eastAsia"/>
          <w:b/>
        </w:rPr>
        <w:t>5</w:t>
      </w:r>
      <w:r>
        <w:rPr>
          <w:b/>
        </w:rPr>
        <w:t>.3.2</w:t>
      </w:r>
      <w:r>
        <w:t xml:space="preserve">  </w:t>
      </w:r>
      <w:r>
        <w:rPr>
          <w:rFonts w:hint="eastAsia"/>
        </w:rPr>
        <w:t>外观质量缺陷定义及分类可参考现行标准《混凝土结构工程施工质量验收规范》GB 5</w:t>
      </w:r>
      <w:r>
        <w:t>0204</w:t>
      </w:r>
      <w:r>
        <w:rPr>
          <w:rFonts w:hint="eastAsia"/>
        </w:rPr>
        <w:t>。露筋长度、孔洞直径、裂缝长度、蜂窝和疏松的位置和范围、外形缺陷和外表缺陷的位置和范围可采用钢尺或卷尺量测，孔洞深度可采用游标卡尺量测，表面裂缝宽度可采用专用裂缝测量仪器量测，夹渣深度、连接部位缺陷可采用剔凿法或超声法检测。</w:t>
      </w:r>
    </w:p>
    <w:p>
      <w:r>
        <w:rPr>
          <w:rFonts w:hint="eastAsia"/>
          <w:b/>
        </w:rPr>
        <w:t>5</w:t>
      </w:r>
      <w:r>
        <w:rPr>
          <w:b/>
        </w:rPr>
        <w:t>.3.3</w:t>
      </w:r>
      <w:r>
        <w:t xml:space="preserve">  </w:t>
      </w:r>
      <w:r>
        <w:rPr>
          <w:rFonts w:hint="eastAsia"/>
        </w:rPr>
        <w:t>检测方法应按照现行国家及行业相关标准的规定执行，对于没有相应标准的检测方法，可按本标准附录A执行。</w:t>
      </w:r>
    </w:p>
    <w:p>
      <w:pPr>
        <w:pStyle w:val="3"/>
      </w:pPr>
      <w:bookmarkStart w:id="608" w:name="_Toc522289786"/>
      <w:bookmarkStart w:id="609" w:name="_Toc522289836"/>
      <w:bookmarkStart w:id="610" w:name="_Toc522627727"/>
      <w:bookmarkStart w:id="611" w:name="_Toc523216465"/>
      <w:bookmarkStart w:id="612" w:name="_Toc523216748"/>
      <w:bookmarkStart w:id="613" w:name="_Toc6317643"/>
      <w:bookmarkStart w:id="614" w:name="_Toc6324938"/>
      <w:bookmarkStart w:id="615" w:name="_Toc6469312"/>
      <w:bookmarkStart w:id="616" w:name="_Toc6675889"/>
      <w:bookmarkStart w:id="617" w:name="_Toc8726288"/>
      <w:bookmarkStart w:id="618" w:name="_Toc12868817"/>
      <w:bookmarkStart w:id="619" w:name="_Toc12958815"/>
      <w:bookmarkStart w:id="620" w:name="_Toc12959562"/>
      <w:bookmarkStart w:id="621" w:name="_Toc17273691"/>
      <w:r>
        <w:rPr>
          <w:rFonts w:hint="eastAsia"/>
          <w:b/>
        </w:rPr>
        <w:t>5</w:t>
      </w:r>
      <w:r>
        <w:rPr>
          <w:b/>
        </w:rPr>
        <w:t>.4</w:t>
      </w:r>
      <w:r>
        <w:t xml:space="preserve">  </w:t>
      </w:r>
      <w:r>
        <w:rPr>
          <w:rFonts w:hint="eastAsia"/>
        </w:rPr>
        <w:t>尺寸偏差</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
        <w:rPr>
          <w:rFonts w:hint="eastAsia"/>
          <w:b/>
        </w:rPr>
        <w:t>5</w:t>
      </w:r>
      <w:r>
        <w:rPr>
          <w:b/>
        </w:rPr>
        <w:t>.4.1</w:t>
      </w:r>
      <w:r>
        <w:t xml:space="preserve">  </w:t>
      </w:r>
      <w:r>
        <w:rPr>
          <w:rFonts w:hint="eastAsia"/>
        </w:rPr>
        <w:t>本条提出了预制构件尺寸偏差的检测项目。</w:t>
      </w:r>
    </w:p>
    <w:p>
      <w:r>
        <w:rPr>
          <w:rFonts w:hint="eastAsia"/>
          <w:b/>
        </w:rPr>
        <w:t>5</w:t>
      </w:r>
      <w:r>
        <w:rPr>
          <w:b/>
        </w:rPr>
        <w:t>.4.2</w:t>
      </w:r>
      <w:r>
        <w:t xml:space="preserve">  </w:t>
      </w:r>
      <w:r>
        <w:rPr>
          <w:rFonts w:hint="eastAsia"/>
        </w:rPr>
        <w:t>本条规定了预制构件尺寸偏差检测方法，检测时应去除表面颗粒、杂渣等，直接测量预制构件本身的尺寸偏差。粗糙面凹凸深度检测方法、灌浆套筒及连接钢筋中心线位置检测方法可按本标准附录执行，本标准所采用的检测方法并非唯一可行，旨在为工程技术人员提供参考。</w:t>
      </w:r>
    </w:p>
    <w:p>
      <w:pPr>
        <w:pStyle w:val="3"/>
      </w:pPr>
      <w:bookmarkStart w:id="622" w:name="_Toc522289787"/>
      <w:bookmarkStart w:id="623" w:name="_Toc522289837"/>
      <w:bookmarkStart w:id="624" w:name="_Toc522627728"/>
      <w:bookmarkStart w:id="625" w:name="_Toc523216466"/>
      <w:bookmarkStart w:id="626" w:name="_Toc523216749"/>
      <w:bookmarkStart w:id="627" w:name="_Toc6317644"/>
      <w:bookmarkStart w:id="628" w:name="_Toc6324939"/>
      <w:bookmarkStart w:id="629" w:name="_Toc6469313"/>
      <w:bookmarkStart w:id="630" w:name="_Toc6675890"/>
      <w:bookmarkStart w:id="631" w:name="_Toc8726289"/>
      <w:bookmarkStart w:id="632" w:name="_Toc12868818"/>
      <w:bookmarkStart w:id="633" w:name="_Toc12958816"/>
      <w:bookmarkStart w:id="634" w:name="_Toc12959563"/>
      <w:bookmarkStart w:id="635" w:name="_Toc17273692"/>
      <w:r>
        <w:rPr>
          <w:rFonts w:hint="eastAsia"/>
          <w:b/>
        </w:rPr>
        <w:t>5</w:t>
      </w:r>
      <w:r>
        <w:rPr>
          <w:b/>
        </w:rPr>
        <w:t>.5</w:t>
      </w:r>
      <w:r>
        <w:t xml:space="preserve">  </w:t>
      </w:r>
      <w:r>
        <w:rPr>
          <w:rFonts w:hint="eastAsia"/>
        </w:rPr>
        <w:t>钢筋配置</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
        <w:rPr>
          <w:rFonts w:hint="eastAsia"/>
          <w:b/>
        </w:rPr>
        <w:t>5</w:t>
      </w:r>
      <w:r>
        <w:rPr>
          <w:b/>
        </w:rPr>
        <w:t>.5.1</w:t>
      </w:r>
      <w:r>
        <w:t xml:space="preserve">  </w:t>
      </w:r>
      <w:r>
        <w:rPr>
          <w:rFonts w:hint="eastAsia"/>
        </w:rPr>
        <w:t>本条提出了钢筋配置情况的检测项目。</w:t>
      </w:r>
    </w:p>
    <w:p>
      <w:r>
        <w:rPr>
          <w:rFonts w:hint="eastAsia"/>
          <w:b/>
        </w:rPr>
        <w:t>5</w:t>
      </w:r>
      <w:r>
        <w:rPr>
          <w:b/>
        </w:rPr>
        <w:t>.5.2</w:t>
      </w:r>
      <w:r>
        <w:t xml:space="preserve">  </w:t>
      </w:r>
      <w:r>
        <w:rPr>
          <w:rFonts w:hint="eastAsia"/>
        </w:rPr>
        <w:t>本条提出钢筋位置.、保护层厚度、直径和数量的检测方法。</w:t>
      </w:r>
    </w:p>
    <w:p>
      <w:pPr>
        <w:pStyle w:val="3"/>
      </w:pPr>
      <w:bookmarkStart w:id="636" w:name="_Toc522289788"/>
      <w:bookmarkStart w:id="637" w:name="_Toc522289838"/>
      <w:bookmarkStart w:id="638" w:name="_Toc522627729"/>
      <w:bookmarkStart w:id="639" w:name="_Toc523216467"/>
      <w:bookmarkStart w:id="640" w:name="_Toc523216750"/>
      <w:bookmarkStart w:id="641" w:name="_Toc6317645"/>
      <w:bookmarkStart w:id="642" w:name="_Toc6324940"/>
      <w:bookmarkStart w:id="643" w:name="_Toc6469314"/>
      <w:bookmarkStart w:id="644" w:name="_Toc6675891"/>
      <w:bookmarkStart w:id="645" w:name="_Toc8726290"/>
      <w:bookmarkStart w:id="646" w:name="_Toc12868819"/>
      <w:bookmarkStart w:id="647" w:name="_Toc12958817"/>
      <w:bookmarkStart w:id="648" w:name="_Toc12959564"/>
      <w:bookmarkStart w:id="649" w:name="_Toc17273693"/>
      <w:r>
        <w:rPr>
          <w:rFonts w:hint="eastAsia"/>
          <w:b/>
        </w:rPr>
        <w:t>5</w:t>
      </w:r>
      <w:r>
        <w:rPr>
          <w:b/>
        </w:rPr>
        <w:t>.6</w:t>
      </w:r>
      <w:r>
        <w:t xml:space="preserve">  </w:t>
      </w:r>
      <w:r>
        <w:rPr>
          <w:rFonts w:hint="eastAsia"/>
        </w:rPr>
        <w:t>构件性能</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
        <w:rPr>
          <w:rFonts w:hint="eastAsia"/>
          <w:b/>
        </w:rPr>
        <w:t>5</w:t>
      </w:r>
      <w:r>
        <w:rPr>
          <w:b/>
        </w:rPr>
        <w:t>.6.1</w:t>
      </w:r>
      <w:r>
        <w:rPr>
          <w:rFonts w:hint="eastAsia"/>
          <w:b/>
        </w:rPr>
        <w:t>-5</w:t>
      </w:r>
      <w:r>
        <w:rPr>
          <w:b/>
        </w:rPr>
        <w:t>.6.2</w:t>
      </w:r>
      <w:r>
        <w:t xml:space="preserve">  </w:t>
      </w:r>
      <w:r>
        <w:rPr>
          <w:rFonts w:hint="eastAsia"/>
        </w:rPr>
        <w:t>对预制构件结构性能检验提出相应要求。</w:t>
      </w:r>
    </w:p>
    <w:p>
      <w:r>
        <w:rPr>
          <w:rFonts w:hint="eastAsia"/>
          <w:b/>
        </w:rPr>
        <w:t>5</w:t>
      </w:r>
      <w:r>
        <w:rPr>
          <w:b/>
        </w:rPr>
        <w:t>.6.3</w:t>
      </w:r>
      <w:r>
        <w:t xml:space="preserve">  </w:t>
      </w:r>
      <w:r>
        <w:rPr>
          <w:rFonts w:hint="eastAsia"/>
        </w:rPr>
        <w:t>本条对预制构件饰面粘结强度提出了检验要求。</w:t>
      </w:r>
    </w:p>
    <w:p>
      <w:pPr>
        <w:sectPr>
          <w:pgSz w:w="7938" w:h="11510"/>
          <w:pgMar w:top="1083" w:right="1009" w:bottom="1083" w:left="1009" w:header="851" w:footer="992" w:gutter="0"/>
          <w:cols w:space="425" w:num="1"/>
          <w:docGrid w:type="lines" w:linePitch="312" w:charSpace="0"/>
        </w:sectPr>
      </w:pPr>
    </w:p>
    <w:p>
      <w:pPr>
        <w:pStyle w:val="2"/>
      </w:pPr>
      <w:bookmarkStart w:id="650" w:name="_Toc521664104"/>
      <w:bookmarkStart w:id="651" w:name="_Toc522031230"/>
      <w:bookmarkStart w:id="652" w:name="_Toc522089690"/>
      <w:bookmarkStart w:id="653" w:name="_Toc522289789"/>
      <w:bookmarkStart w:id="654" w:name="_Toc522289839"/>
      <w:bookmarkStart w:id="655" w:name="_Toc522627730"/>
      <w:bookmarkStart w:id="656" w:name="_Toc523216468"/>
      <w:bookmarkStart w:id="657" w:name="_Toc523216751"/>
      <w:bookmarkStart w:id="658" w:name="_Toc6317646"/>
      <w:bookmarkStart w:id="659" w:name="_Toc6324941"/>
      <w:bookmarkStart w:id="660" w:name="_Toc6469315"/>
      <w:bookmarkStart w:id="661" w:name="_Toc6675892"/>
      <w:bookmarkStart w:id="662" w:name="_Toc8726291"/>
      <w:bookmarkStart w:id="663" w:name="_Toc12868820"/>
      <w:bookmarkStart w:id="664" w:name="_Toc12958818"/>
      <w:bookmarkStart w:id="665" w:name="_Toc12959565"/>
      <w:bookmarkStart w:id="666" w:name="_Toc17273694"/>
      <w:r>
        <w:rPr>
          <w:rFonts w:hint="eastAsia"/>
        </w:rPr>
        <w:t>6</w:t>
      </w:r>
      <w:r>
        <w:t xml:space="preserve">  </w:t>
      </w:r>
      <w:r>
        <w:rPr>
          <w:rFonts w:hint="eastAsia"/>
        </w:rPr>
        <w:t>安装与连接质量</w:t>
      </w:r>
      <w:bookmarkEnd w:id="650"/>
      <w:bookmarkEnd w:id="651"/>
      <w:bookmarkEnd w:id="652"/>
      <w:bookmarkEnd w:id="653"/>
      <w:bookmarkEnd w:id="654"/>
      <w:bookmarkEnd w:id="655"/>
      <w:bookmarkEnd w:id="656"/>
      <w:bookmarkEnd w:id="657"/>
      <w:bookmarkEnd w:id="658"/>
      <w:bookmarkEnd w:id="659"/>
      <w:bookmarkEnd w:id="660"/>
      <w:r>
        <w:rPr>
          <w:rFonts w:hint="eastAsia"/>
        </w:rPr>
        <w:t>检测</w:t>
      </w:r>
      <w:bookmarkEnd w:id="661"/>
      <w:bookmarkEnd w:id="662"/>
      <w:bookmarkEnd w:id="663"/>
      <w:bookmarkEnd w:id="664"/>
      <w:bookmarkEnd w:id="665"/>
      <w:bookmarkEnd w:id="666"/>
    </w:p>
    <w:p>
      <w:pPr>
        <w:pStyle w:val="3"/>
      </w:pPr>
      <w:bookmarkStart w:id="667" w:name="_Toc12958819"/>
      <w:bookmarkStart w:id="668" w:name="_Toc12868821"/>
      <w:bookmarkStart w:id="669" w:name="_Toc12959566"/>
      <w:bookmarkStart w:id="670" w:name="_Toc17273695"/>
      <w:r>
        <w:rPr>
          <w:rFonts w:hint="eastAsia"/>
          <w:b/>
        </w:rPr>
        <w:t>6</w:t>
      </w:r>
      <w:r>
        <w:rPr>
          <w:b/>
        </w:rPr>
        <w:t>.1</w:t>
      </w:r>
      <w:r>
        <w:t xml:space="preserve">  </w:t>
      </w:r>
      <w:r>
        <w:rPr>
          <w:rFonts w:hint="eastAsia"/>
        </w:rPr>
        <w:t>一般规定</w:t>
      </w:r>
      <w:bookmarkEnd w:id="667"/>
      <w:bookmarkEnd w:id="668"/>
      <w:bookmarkEnd w:id="669"/>
      <w:bookmarkEnd w:id="670"/>
    </w:p>
    <w:p>
      <w:r>
        <w:rPr>
          <w:rFonts w:hint="eastAsia"/>
          <w:b/>
        </w:rPr>
        <w:t>6</w:t>
      </w:r>
      <w:r>
        <w:rPr>
          <w:b/>
        </w:rPr>
        <w:t xml:space="preserve">.1.1  </w:t>
      </w:r>
      <w:r>
        <w:rPr>
          <w:rFonts w:hint="eastAsia"/>
        </w:rPr>
        <w:t>装配式混凝土结构的安装与连接质量对装配式混凝土结构的整体性能起着决定性作用，在安装施工过程，检测工作及时介入，可实现施工过程的质量管控，出现问题后及时处理可消除安全隐患。</w:t>
      </w:r>
    </w:p>
    <w:p>
      <w:r>
        <w:rPr>
          <w:rFonts w:hint="eastAsia"/>
          <w:b/>
        </w:rPr>
        <w:t>6</w:t>
      </w:r>
      <w:r>
        <w:rPr>
          <w:b/>
        </w:rPr>
        <w:t>.1.2</w:t>
      </w:r>
      <w:r>
        <w:t xml:space="preserve">  </w:t>
      </w:r>
      <w:r>
        <w:rPr>
          <w:rFonts w:hint="eastAsia"/>
        </w:rPr>
        <w:t>结构尺寸偏差检测项目属于安装质量检测范畴，钢筋连接</w:t>
      </w:r>
      <w:r>
        <w:rPr>
          <w:rFonts w:hint="eastAsia"/>
          <w:color w:val="000000" w:themeColor="text1"/>
          <w14:textFill>
            <w14:solidFill>
              <w14:schemeClr w14:val="tx1"/>
            </w14:solidFill>
          </w14:textFill>
        </w:rPr>
        <w:t>质量、现浇混凝土连接质量属于连接质量检测范畴。钢筋连接质量主要包括套筒灌浆连接、机械连接、焊接连接、螺栓连接等；现浇混凝土连接质量的检测主要包括钢筋套筒灌浆连接质量、浆锚搭接连接质量、预制剪力墙底部接缝灌浆质量、叠合构件及双面叠合剪力墙空腔内现浇混凝土质量等内容。</w:t>
      </w:r>
    </w:p>
    <w:p>
      <w:pPr>
        <w:pStyle w:val="3"/>
      </w:pPr>
      <w:bookmarkStart w:id="671" w:name="_Toc12868822"/>
      <w:bookmarkStart w:id="672" w:name="_Toc12958820"/>
      <w:bookmarkStart w:id="673" w:name="_Toc12959567"/>
      <w:bookmarkStart w:id="674" w:name="_Toc17273696"/>
      <w:r>
        <w:rPr>
          <w:b/>
          <w:bCs w:val="0"/>
        </w:rPr>
        <w:t>6.2</w:t>
      </w:r>
      <w:r>
        <w:t xml:space="preserve">  </w:t>
      </w:r>
      <w:r>
        <w:rPr>
          <w:rFonts w:hint="eastAsia"/>
        </w:rPr>
        <w:t>安装尺寸偏差</w:t>
      </w:r>
      <w:bookmarkEnd w:id="671"/>
      <w:bookmarkEnd w:id="672"/>
      <w:bookmarkEnd w:id="673"/>
      <w:bookmarkEnd w:id="674"/>
    </w:p>
    <w:p>
      <w:r>
        <w:rPr>
          <w:rFonts w:hint="eastAsia"/>
          <w:b/>
        </w:rPr>
        <w:t>6</w:t>
      </w:r>
      <w:r>
        <w:rPr>
          <w:b/>
        </w:rPr>
        <w:t>.2.1</w:t>
      </w:r>
      <w: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预制构件安装偏差是施工控制和验收的重要内容。安装过程中，宜采取</w:t>
      </w:r>
      <w:r>
        <w:rPr>
          <w:rFonts w:hint="eastAsia"/>
        </w:rPr>
        <w:t>相应措施从严控制，方可保证完成后的尺寸偏差要求。当预制构件中用于连接的外伸钢筋定位精度有特别要求时，如与灌浆套筒连接钢筋，预制构件安装尺寸偏差尚应与连接钢筋的定位要求相协调。</w:t>
      </w:r>
    </w:p>
    <w:p>
      <w:pPr>
        <w:pStyle w:val="3"/>
      </w:pPr>
      <w:bookmarkStart w:id="675" w:name="_Toc12959568"/>
      <w:bookmarkStart w:id="676" w:name="_Toc12868823"/>
      <w:bookmarkStart w:id="677" w:name="_Toc17273697"/>
      <w:bookmarkStart w:id="678" w:name="_Toc12958821"/>
      <w:r>
        <w:rPr>
          <w:rFonts w:hint="eastAsia"/>
          <w:b/>
          <w:bCs w:val="0"/>
        </w:rPr>
        <w:t>6.3</w:t>
      </w:r>
      <w:r>
        <w:rPr>
          <w:rFonts w:hint="eastAsia"/>
        </w:rPr>
        <w:t xml:space="preserve"> </w:t>
      </w:r>
      <w:r>
        <w:t xml:space="preserve"> </w:t>
      </w:r>
      <w:r>
        <w:rPr>
          <w:rFonts w:hint="eastAsia"/>
        </w:rPr>
        <w:t>钢筋连接质量</w:t>
      </w:r>
      <w:bookmarkEnd w:id="675"/>
      <w:bookmarkEnd w:id="676"/>
      <w:bookmarkEnd w:id="677"/>
      <w:bookmarkEnd w:id="678"/>
    </w:p>
    <w:p>
      <w:r>
        <w:rPr>
          <w:rFonts w:hint="eastAsia"/>
          <w:b/>
        </w:rPr>
        <w:t>6</w:t>
      </w:r>
      <w:r>
        <w:rPr>
          <w:b/>
        </w:rPr>
        <w:t>.3.1</w:t>
      </w:r>
      <w:r>
        <w:t xml:space="preserve">  </w:t>
      </w:r>
      <w:r>
        <w:rPr>
          <w:rFonts w:hint="eastAsia"/>
        </w:rPr>
        <w:t>钢筋套筒灌浆连接在装配式混凝土结构中墙、柱等重要竖向构件的底部钢筋同截面100%连接处，且在框架柱中多位于箍筋加密区部位。考虑到钢筋连接的可靠连接的重要性，为防止采用灌浆套筒连接的混凝土构件发生不利破坏，对其接头强度的检测就尤为重要。抗拉强度检测试件应模拟施工条件并按施工方案制作接头试件，在标准养护条件下养护28d后进行抗拉试验</w:t>
      </w:r>
      <w:r>
        <w:rPr>
          <w:rFonts w:hint="eastAsia"/>
          <w:color w:val="000000" w:themeColor="text1"/>
          <w14:textFill>
            <w14:solidFill>
              <w14:schemeClr w14:val="tx1"/>
            </w14:solidFill>
          </w14:textFill>
        </w:rPr>
        <w:t>，平行构件的辅助制作装置和制作方法可按本标准附录G执行。</w:t>
      </w:r>
    </w:p>
    <w:p>
      <w:r>
        <w:rPr>
          <w:rFonts w:hint="eastAsia"/>
          <w:b/>
        </w:rPr>
        <w:t>6</w:t>
      </w:r>
      <w:r>
        <w:rPr>
          <w:b/>
        </w:rPr>
        <w:t>.3.2</w:t>
      </w:r>
      <w:r>
        <w:t xml:space="preserve">  </w:t>
      </w:r>
      <w:r>
        <w:rPr>
          <w:rFonts w:hint="eastAsia"/>
        </w:rPr>
        <w:t>钢筋采用焊接连接时，应按现行行业标准《钢筋焊接及验收规程》JGJ 18的有关规定进行检测。考虑到装配式混凝土结构中钢筋连接的特殊性，很难做到连接试件原位戴取，故要求制作平行试件。平行试件应与实际钢筋连接接头的施工环境相似，并宜在工程结构附近制作。</w:t>
      </w:r>
    </w:p>
    <w:p>
      <w:r>
        <w:rPr>
          <w:rFonts w:hint="eastAsia"/>
          <w:b/>
        </w:rPr>
        <w:t>6</w:t>
      </w:r>
      <w:r>
        <w:rPr>
          <w:b/>
        </w:rPr>
        <w:t>.3.3</w:t>
      </w:r>
      <w:r>
        <w:t xml:space="preserve">  </w:t>
      </w:r>
      <w:r>
        <w:rPr>
          <w:rFonts w:hint="eastAsia"/>
        </w:rPr>
        <w:t>钢筋采用机械连接时，应按现行行业标准《钢筋机械连接技术规程》JGJ 107的有关规定进行检测。平行加工试件要求的相关规定同本规范第6.3.2条，对于机械连接接头，还应按相关规定检测螺纹接头拧紧扭矩和挤压接头压痕直径。</w:t>
      </w:r>
    </w:p>
    <w:p>
      <w:pPr>
        <w:pStyle w:val="3"/>
      </w:pPr>
      <w:bookmarkStart w:id="679" w:name="_Toc12959569"/>
      <w:bookmarkStart w:id="680" w:name="_Toc12868824"/>
      <w:bookmarkStart w:id="681" w:name="_Toc17273698"/>
      <w:bookmarkStart w:id="682" w:name="_Toc12958822"/>
      <w:r>
        <w:rPr>
          <w:rFonts w:hint="eastAsia"/>
          <w:b/>
          <w:bCs w:val="0"/>
        </w:rPr>
        <w:t>6.4</w:t>
      </w:r>
      <w:r>
        <w:rPr>
          <w:rFonts w:hint="eastAsia"/>
        </w:rPr>
        <w:t xml:space="preserve"> </w:t>
      </w:r>
      <w:r>
        <w:t xml:space="preserve"> </w:t>
      </w:r>
      <w:r>
        <w:rPr>
          <w:rFonts w:hint="eastAsia"/>
        </w:rPr>
        <w:t>套筒灌浆与浆锚搭接灌浆连接质量</w:t>
      </w:r>
      <w:bookmarkEnd w:id="679"/>
      <w:bookmarkEnd w:id="680"/>
      <w:bookmarkEnd w:id="681"/>
      <w:bookmarkEnd w:id="682"/>
    </w:p>
    <w:p>
      <w:r>
        <w:rPr>
          <w:rFonts w:hint="eastAsia"/>
          <w:b/>
        </w:rPr>
        <w:t>6</w:t>
      </w:r>
      <w:r>
        <w:rPr>
          <w:b/>
        </w:rPr>
        <w:t>.4.1</w:t>
      </w:r>
      <w:r>
        <w:t xml:space="preserve">  </w:t>
      </w:r>
      <w:r>
        <w:rPr>
          <w:rFonts w:hint="eastAsia"/>
        </w:rPr>
        <w:t>钢筋采用套筒灌浆连接时，连接接头的质量及传力性能是影响装配式混凝土结构受力性能的关键，应严格控制，灌浆饱满、密实是灌浆质量的基本要求。</w:t>
      </w:r>
    </w:p>
    <w:p>
      <w:r>
        <w:rPr>
          <w:rFonts w:hint="eastAsia"/>
          <w:b/>
        </w:rPr>
        <w:t>6</w:t>
      </w:r>
      <w:r>
        <w:rPr>
          <w:b/>
        </w:rPr>
        <w:t xml:space="preserve">.4.2  </w:t>
      </w:r>
      <w:r>
        <w:rPr>
          <w:rFonts w:hint="eastAsia"/>
        </w:rPr>
        <w:t>本条列举了装配式混凝土结构中套筒灌浆质量的检测方法，现行国家标准《装配式混凝土建筑技术标准》GB/T 51231、现行行业标准《装配式混凝土结构技术规程》JGJ 1、现行行业标准《钢筋套筒灌浆连接应用技术规程》JGJ 355均要求灌浆应饱满、密实，因此，套筒灌浆质量可用饱满性和密实性来表征，饱满性主要是指套筒出浆口处是否完全灌满，密实性主要是指套筒内部是否存在孔洞或夹杂。</w:t>
      </w:r>
    </w:p>
    <w:p>
      <w:r>
        <w:rPr>
          <w:rFonts w:hint="eastAsia"/>
          <w:b/>
        </w:rPr>
        <w:t>6</w:t>
      </w:r>
      <w:r>
        <w:rPr>
          <w:b/>
        </w:rPr>
        <w:t>.4.3</w:t>
      </w:r>
      <w:r>
        <w:t xml:space="preserve">  </w:t>
      </w:r>
      <w:r>
        <w:rPr>
          <w:rFonts w:hint="eastAsia"/>
        </w:rPr>
        <w:t>钢筋套筒灌浆应有直观、可靠的过程质量控制措施，在施工过程中，可以根据具体工程的套筒灌浆特点，在不少本标准规定的测点数量外，可适当增加测点数量，且在使用不同方法前，应对其检测结果的可靠性进行测试分析。考虑到仪器可能存在误差导致错判、漏判，特要求制作平行试件进行破损验证检测。同时本条还要求被测套筒应包含注浆口处套筒、距离注浆口套筒最远处的套筒以及二者之间任意一个套筒。</w:t>
      </w:r>
    </w:p>
    <w:p>
      <w:r>
        <w:rPr>
          <w:rFonts w:hint="eastAsia"/>
          <w:b/>
        </w:rPr>
        <w:t>6</w:t>
      </w:r>
      <w:r>
        <w:rPr>
          <w:b/>
        </w:rPr>
        <w:t>.4.4</w:t>
      </w:r>
      <w:r>
        <w:t xml:space="preserve">  </w:t>
      </w:r>
      <w:r>
        <w:rPr>
          <w:rFonts w:hint="eastAsia"/>
        </w:rPr>
        <w:t>钢筋采用浆锚搭接连接时，连接接头的质量及传力性能是影响装配式混凝土结构受力性能的关键，应严格控制。灌浆饱满、密实是灌浆质量的基本要求。</w:t>
      </w:r>
    </w:p>
    <w:p>
      <w:r>
        <w:rPr>
          <w:rFonts w:hint="eastAsia"/>
          <w:b/>
        </w:rPr>
        <w:t>6</w:t>
      </w:r>
      <w:r>
        <w:rPr>
          <w:b/>
        </w:rPr>
        <w:t>.4.5</w:t>
      </w:r>
      <w:r>
        <w:t xml:space="preserve">  </w:t>
      </w:r>
      <w:r>
        <w:rPr>
          <w:rFonts w:hint="eastAsia"/>
        </w:rPr>
        <w:t>目前，X射线法仅适用于厚度不大于200mm、灌浆孔道单排或“梅花形”布置的预制剪力墙，具体布置方式可参见现行国家标准《装配式混凝土建筑技术标准》GB/T 51231，对其他构件不适用。另外，由于钢筋浆锚搭接连接出浆口特殊的构造做法，本标准6.4.2条的预埋传感器法尚不适用于浆锚搭接灌浆饱满度检测。</w:t>
      </w:r>
    </w:p>
    <w:p>
      <w:r>
        <w:rPr>
          <w:rFonts w:hint="eastAsia"/>
          <w:b/>
        </w:rPr>
        <w:t>6</w:t>
      </w:r>
      <w:r>
        <w:rPr>
          <w:b/>
        </w:rPr>
        <w:t xml:space="preserve">.4.6  </w:t>
      </w:r>
      <w:r>
        <w:rPr>
          <w:rFonts w:hint="eastAsia"/>
        </w:rPr>
        <w:t>抽检过程中，根据施工质量情况，可适当增加或减少抽检数量。</w:t>
      </w:r>
    </w:p>
    <w:p>
      <w:pPr>
        <w:pStyle w:val="3"/>
      </w:pPr>
      <w:bookmarkStart w:id="683" w:name="_Toc12868825"/>
      <w:bookmarkStart w:id="684" w:name="_Toc12958823"/>
      <w:bookmarkStart w:id="685" w:name="_Toc12959570"/>
      <w:bookmarkStart w:id="686" w:name="_Toc17273699"/>
      <w:r>
        <w:rPr>
          <w:rFonts w:hint="eastAsia"/>
        </w:rPr>
        <w:t>6.5  预制剪力墙底部接缝灌浆质量</w:t>
      </w:r>
      <w:bookmarkEnd w:id="683"/>
      <w:bookmarkEnd w:id="684"/>
      <w:bookmarkEnd w:id="685"/>
      <w:bookmarkEnd w:id="686"/>
    </w:p>
    <w:p>
      <w:r>
        <w:rPr>
          <w:rFonts w:hint="eastAsia"/>
          <w:b/>
        </w:rPr>
        <w:t>6</w:t>
      </w:r>
      <w:r>
        <w:rPr>
          <w:b/>
        </w:rPr>
        <w:t>.5.1</w:t>
      </w:r>
      <w:r>
        <w:t xml:space="preserve">  </w:t>
      </w:r>
      <w:r>
        <w:rPr>
          <w:rFonts w:hint="eastAsia"/>
        </w:rPr>
        <w:t>预制剪力墙底部接缝是结构的关键受力部位，其构造具有以下特点：</w:t>
      </w:r>
    </w:p>
    <w:p>
      <w:pPr>
        <w:ind w:firstLine="316" w:firstLineChars="150"/>
      </w:pPr>
      <w:r>
        <w:rPr>
          <w:b/>
        </w:rPr>
        <w:t>1</w:t>
      </w:r>
      <w:r>
        <w:t xml:space="preserve">  </w:t>
      </w:r>
      <w:r>
        <w:rPr>
          <w:rFonts w:hint="eastAsia"/>
        </w:rPr>
        <w:t>底部接缝长度一般以一块预制剪力墙长度为单元，宽度等于预制剪力墙厚度，高度一般为20mm；</w:t>
      </w:r>
    </w:p>
    <w:p>
      <w:pPr>
        <w:ind w:firstLine="316" w:firstLineChars="150"/>
      </w:pPr>
      <w:r>
        <w:rPr>
          <w:b/>
        </w:rPr>
        <w:t>2</w:t>
      </w:r>
      <w:r>
        <w:t xml:space="preserve">  </w:t>
      </w:r>
      <w:r>
        <w:rPr>
          <w:rFonts w:hint="eastAsia"/>
        </w:rPr>
        <w:t>预制剪力墙大多采用连通腔灌浆，底部接缝中充填的灌浆料强度可高达100MPa，属超高强无收缩水泥基材料；</w:t>
      </w:r>
    </w:p>
    <w:p>
      <w:pPr>
        <w:ind w:firstLine="316" w:firstLineChars="150"/>
      </w:pPr>
      <w:r>
        <w:rPr>
          <w:b/>
        </w:rPr>
        <w:t>3</w:t>
      </w:r>
      <w:r>
        <w:t xml:space="preserve">  </w:t>
      </w:r>
      <w:r>
        <w:rPr>
          <w:rFonts w:hint="eastAsia"/>
        </w:rPr>
        <w:t>底部接缝灌浆料中除钢筋、机电管线外，还分布一定数量的用于定位接缝高度的垫块，周边采用高强砂浆封堵，用普通超声法检测底部接缝灌浆质量存在一定困难，主要表现在：</w:t>
      </w:r>
    </w:p>
    <w:p>
      <w:pPr>
        <w:ind w:firstLine="632" w:firstLineChars="300"/>
      </w:pPr>
      <w:r>
        <w:rPr>
          <w:b/>
        </w:rPr>
        <w:t>1</w:t>
      </w:r>
      <w:r>
        <w:rPr>
          <w:rFonts w:hint="eastAsia"/>
        </w:rPr>
        <w:t>）普通换能器直径偏大，不能适应底部接缝较小的高度；</w:t>
      </w:r>
    </w:p>
    <w:p>
      <w:pPr>
        <w:ind w:firstLine="632" w:firstLineChars="300"/>
      </w:pPr>
      <w:r>
        <w:rPr>
          <w:b/>
        </w:rPr>
        <w:t>2</w:t>
      </w:r>
      <w:r>
        <w:rPr>
          <w:rFonts w:hint="eastAsia"/>
        </w:rPr>
        <w:t>）工作频率偏低，一般为50kHz，频率低会导致灵敏度和分辨力低、能量集中等缺点，对缺陷的识别能力弱。</w:t>
      </w:r>
    </w:p>
    <w:p>
      <w:pPr>
        <w:ind w:firstLine="420" w:firstLineChars="200"/>
      </w:pPr>
      <w:r>
        <w:rPr>
          <w:rFonts w:hint="eastAsia"/>
        </w:rPr>
        <w:t>本标准建议采用小直径、高频率换能器，换能器的辐射端直径不超过20mm，工作频率不低于250kHz，是一种改进的超声法，能较好地适应预制剪力墙底部接缝的构造特点。该方法适用于预制剪力墙底部接缝灌浆质量的检测，一般在灌浆7d后实施检测；但不适用于预制夹心保温剪力墙底部接缝灌浆质量的检测。</w:t>
      </w:r>
    </w:p>
    <w:p>
      <w:pPr>
        <w:pStyle w:val="3"/>
      </w:pPr>
      <w:bookmarkStart w:id="687" w:name="_Toc12868826"/>
      <w:bookmarkStart w:id="688" w:name="_Toc12958824"/>
      <w:bookmarkStart w:id="689" w:name="_Toc12959571"/>
      <w:bookmarkStart w:id="690" w:name="_Toc17273700"/>
      <w:r>
        <w:rPr>
          <w:rFonts w:hint="eastAsia"/>
        </w:rPr>
        <w:t xml:space="preserve">6.6 </w:t>
      </w:r>
      <w:r>
        <w:t xml:space="preserve"> </w:t>
      </w:r>
      <w:r>
        <w:rPr>
          <w:rFonts w:hint="eastAsia"/>
        </w:rPr>
        <w:t>叠合构件及双面叠合剪力墙空腔内现浇混凝土质量</w:t>
      </w:r>
      <w:bookmarkEnd w:id="687"/>
      <w:bookmarkEnd w:id="688"/>
      <w:bookmarkEnd w:id="689"/>
      <w:bookmarkEnd w:id="690"/>
    </w:p>
    <w:p>
      <w:r>
        <w:rPr>
          <w:rFonts w:hint="eastAsia"/>
          <w:b/>
        </w:rPr>
        <w:t>6</w:t>
      </w:r>
      <w:r>
        <w:rPr>
          <w:b/>
        </w:rPr>
        <w:t>.6.1</w:t>
      </w:r>
      <w:r>
        <w:t xml:space="preserve">  </w:t>
      </w:r>
      <w:r>
        <w:rPr>
          <w:rFonts w:hint="eastAsia"/>
        </w:rPr>
        <w:t>超声对测法检测混凝土构件内部缺陷是目前公认的成熟的检测方法，已有大量成功应用经验，当不满足对测要求时，可采用冲击回波法（雷达法）检测，对于疑似缺陷部位，可采用敲击辨声或钻芯法确认。</w:t>
      </w:r>
    </w:p>
    <w:p>
      <w:pPr>
        <w:rPr>
          <w:b/>
        </w:rPr>
        <w:sectPr>
          <w:pgSz w:w="7938" w:h="11510"/>
          <w:pgMar w:top="1083" w:right="1009" w:bottom="1083" w:left="1009" w:header="851" w:footer="992" w:gutter="0"/>
          <w:cols w:space="425" w:num="1"/>
          <w:docGrid w:type="lines" w:linePitch="312" w:charSpace="0"/>
        </w:sectPr>
      </w:pPr>
    </w:p>
    <w:p>
      <w:pPr>
        <w:pStyle w:val="2"/>
      </w:pPr>
      <w:bookmarkStart w:id="691" w:name="_Toc522031231"/>
      <w:bookmarkStart w:id="692" w:name="_Toc522089691"/>
      <w:bookmarkStart w:id="693" w:name="_Toc522289790"/>
      <w:bookmarkStart w:id="694" w:name="_Toc522289840"/>
      <w:bookmarkStart w:id="695" w:name="_Toc522627731"/>
      <w:bookmarkStart w:id="696" w:name="_Toc523216469"/>
      <w:bookmarkStart w:id="697" w:name="_Toc523216752"/>
      <w:bookmarkStart w:id="698" w:name="_Toc6317647"/>
      <w:bookmarkStart w:id="699" w:name="_Toc6324942"/>
      <w:bookmarkStart w:id="700" w:name="_Toc6469316"/>
      <w:bookmarkStart w:id="701" w:name="_Toc6675893"/>
      <w:bookmarkStart w:id="702" w:name="_Toc8726292"/>
      <w:bookmarkStart w:id="703" w:name="_Toc12868827"/>
      <w:bookmarkStart w:id="704" w:name="_Toc12958825"/>
      <w:bookmarkStart w:id="705" w:name="_Toc12959572"/>
      <w:bookmarkStart w:id="706" w:name="_Toc17273701"/>
      <w:r>
        <w:rPr>
          <w:rFonts w:hint="eastAsia"/>
        </w:rPr>
        <w:t>7</w:t>
      </w:r>
      <w:r>
        <w:t xml:space="preserve">  </w:t>
      </w:r>
      <w:bookmarkEnd w:id="691"/>
      <w:bookmarkEnd w:id="692"/>
      <w:bookmarkEnd w:id="693"/>
      <w:bookmarkEnd w:id="694"/>
      <w:bookmarkEnd w:id="695"/>
      <w:bookmarkEnd w:id="696"/>
      <w:bookmarkEnd w:id="697"/>
      <w:bookmarkEnd w:id="698"/>
      <w:bookmarkEnd w:id="699"/>
      <w:bookmarkEnd w:id="700"/>
      <w:r>
        <w:rPr>
          <w:rFonts w:hint="eastAsia"/>
        </w:rPr>
        <w:t>结构实体与整体性检验</w:t>
      </w:r>
      <w:bookmarkEnd w:id="701"/>
      <w:bookmarkEnd w:id="702"/>
      <w:bookmarkEnd w:id="703"/>
      <w:bookmarkEnd w:id="704"/>
      <w:bookmarkEnd w:id="705"/>
      <w:bookmarkEnd w:id="706"/>
    </w:p>
    <w:p>
      <w:pPr>
        <w:pStyle w:val="3"/>
      </w:pPr>
      <w:bookmarkStart w:id="707" w:name="_Toc523216470"/>
      <w:bookmarkStart w:id="708" w:name="_Toc523216753"/>
      <w:bookmarkStart w:id="709" w:name="_Toc6317648"/>
      <w:bookmarkStart w:id="710" w:name="_Toc6324943"/>
      <w:bookmarkStart w:id="711" w:name="_Toc6469317"/>
      <w:bookmarkStart w:id="712" w:name="_Toc6675894"/>
      <w:bookmarkStart w:id="713" w:name="_Toc8726293"/>
      <w:bookmarkStart w:id="714" w:name="_Toc12868828"/>
      <w:bookmarkStart w:id="715" w:name="_Toc12958826"/>
      <w:bookmarkStart w:id="716" w:name="_Toc12959573"/>
      <w:bookmarkStart w:id="717" w:name="_Toc17273702"/>
      <w:r>
        <w:rPr>
          <w:rFonts w:hint="eastAsia"/>
          <w:b/>
        </w:rPr>
        <w:t>7</w:t>
      </w:r>
      <w:r>
        <w:rPr>
          <w:b/>
        </w:rPr>
        <w:t>.1</w:t>
      </w:r>
      <w:r>
        <w:t xml:space="preserve">  </w:t>
      </w:r>
      <w:r>
        <w:rPr>
          <w:rFonts w:hint="eastAsia"/>
        </w:rPr>
        <w:t>一般规定</w:t>
      </w:r>
      <w:bookmarkEnd w:id="707"/>
      <w:bookmarkEnd w:id="708"/>
      <w:bookmarkEnd w:id="709"/>
      <w:bookmarkEnd w:id="710"/>
      <w:bookmarkEnd w:id="711"/>
      <w:bookmarkEnd w:id="712"/>
      <w:bookmarkEnd w:id="713"/>
      <w:bookmarkEnd w:id="714"/>
      <w:bookmarkEnd w:id="715"/>
      <w:bookmarkEnd w:id="716"/>
      <w:bookmarkEnd w:id="717"/>
    </w:p>
    <w:p>
      <w:r>
        <w:rPr>
          <w:rFonts w:hint="eastAsia"/>
          <w:b/>
        </w:rPr>
        <w:t>7</w:t>
      </w:r>
      <w:r>
        <w:rPr>
          <w:b/>
        </w:rPr>
        <w:t>.1.1</w:t>
      </w:r>
      <w:r>
        <w:t xml:space="preserve">  </w:t>
      </w:r>
      <w:r>
        <w:rPr>
          <w:rFonts w:hint="eastAsia"/>
        </w:rPr>
        <w:t>本条规定了本章的适用范围。</w:t>
      </w:r>
    </w:p>
    <w:p>
      <w:r>
        <w:rPr>
          <w:rFonts w:hint="eastAsia"/>
          <w:b/>
        </w:rPr>
        <w:t>7</w:t>
      </w:r>
      <w:r>
        <w:rPr>
          <w:b/>
        </w:rPr>
        <w:t>.1.2</w:t>
      </w:r>
      <w:r>
        <w:t xml:space="preserve">  </w:t>
      </w:r>
      <w:r>
        <w:rPr>
          <w:rFonts w:hint="eastAsia"/>
        </w:rPr>
        <w:t>本条规定了装配式混凝土结构现浇部分实体检验的要求。</w:t>
      </w:r>
    </w:p>
    <w:p>
      <w:pPr>
        <w:pStyle w:val="3"/>
      </w:pPr>
      <w:bookmarkStart w:id="718" w:name="_Toc523216471"/>
      <w:bookmarkStart w:id="719" w:name="_Toc523216754"/>
      <w:bookmarkStart w:id="720" w:name="_Toc6317649"/>
      <w:bookmarkStart w:id="721" w:name="_Toc6324944"/>
      <w:bookmarkStart w:id="722" w:name="_Toc6469318"/>
      <w:bookmarkStart w:id="723" w:name="_Toc6675895"/>
      <w:bookmarkStart w:id="724" w:name="_Toc8726294"/>
      <w:bookmarkStart w:id="725" w:name="_Toc12868829"/>
      <w:bookmarkStart w:id="726" w:name="_Toc12958827"/>
      <w:bookmarkStart w:id="727" w:name="_Toc12959574"/>
      <w:bookmarkStart w:id="728" w:name="_Toc17273703"/>
      <w:r>
        <w:rPr>
          <w:rFonts w:hint="eastAsia"/>
          <w:b/>
        </w:rPr>
        <w:t>7.2</w:t>
      </w:r>
      <w:r>
        <w:rPr>
          <w:rFonts w:hint="eastAsia"/>
        </w:rPr>
        <w:t xml:space="preserve">  </w:t>
      </w:r>
      <w:bookmarkEnd w:id="718"/>
      <w:bookmarkEnd w:id="719"/>
      <w:bookmarkEnd w:id="720"/>
      <w:bookmarkEnd w:id="721"/>
      <w:bookmarkEnd w:id="722"/>
      <w:r>
        <w:rPr>
          <w:rFonts w:hint="eastAsia"/>
        </w:rPr>
        <w:t>装配式混凝土结构现浇部分实体检验</w:t>
      </w:r>
      <w:bookmarkEnd w:id="723"/>
      <w:bookmarkEnd w:id="724"/>
      <w:bookmarkEnd w:id="725"/>
      <w:bookmarkEnd w:id="726"/>
      <w:bookmarkEnd w:id="727"/>
      <w:bookmarkEnd w:id="728"/>
    </w:p>
    <w:p>
      <w:r>
        <w:rPr>
          <w:rFonts w:hint="eastAsia"/>
          <w:b/>
        </w:rPr>
        <w:t>7</w:t>
      </w:r>
      <w:r>
        <w:rPr>
          <w:b/>
        </w:rPr>
        <w:t>.2.1</w:t>
      </w:r>
      <w:r>
        <w:t xml:space="preserve">  </w:t>
      </w:r>
      <w:r>
        <w:rPr>
          <w:rFonts w:hint="eastAsia"/>
        </w:rPr>
        <w:t>本条规定了预制空腔构件、叠合构件现浇部分混凝土抗压强度检测方法。</w:t>
      </w:r>
    </w:p>
    <w:p>
      <w:r>
        <w:rPr>
          <w:rFonts w:hint="eastAsia"/>
          <w:b/>
        </w:rPr>
        <w:t>7</w:t>
      </w:r>
      <w:r>
        <w:rPr>
          <w:b/>
        </w:rPr>
        <w:t>.2.2</w:t>
      </w:r>
      <w:r>
        <w:t xml:space="preserve">  </w:t>
      </w:r>
      <w:r>
        <w:rPr>
          <w:rFonts w:hint="eastAsia"/>
        </w:rPr>
        <w:t>本条规定了预制空腔构件、叠合构件现浇部分混凝土抗压强度检测数量。</w:t>
      </w:r>
    </w:p>
    <w:p>
      <w:r>
        <w:rPr>
          <w:rFonts w:hint="eastAsia"/>
          <w:b/>
        </w:rPr>
        <w:t>7</w:t>
      </w:r>
      <w:r>
        <w:rPr>
          <w:b/>
        </w:rPr>
        <w:t>.</w:t>
      </w:r>
      <w:r>
        <w:rPr>
          <w:rFonts w:hint="eastAsia"/>
          <w:b/>
        </w:rPr>
        <w:t>2</w:t>
      </w:r>
      <w:r>
        <w:rPr>
          <w:b/>
        </w:rPr>
        <w:t>.3</w:t>
      </w:r>
      <w:r>
        <w:t xml:space="preserve">  </w:t>
      </w:r>
      <w:r>
        <w:rPr>
          <w:rFonts w:hint="eastAsia"/>
        </w:rPr>
        <w:t>本条规定了装配式混凝土结构现浇部分内部质量缺陷的检测方法。</w:t>
      </w:r>
    </w:p>
    <w:p>
      <w:pPr>
        <w:pStyle w:val="3"/>
      </w:pPr>
      <w:bookmarkStart w:id="729" w:name="_Toc6317650"/>
      <w:bookmarkStart w:id="730" w:name="_Toc6324945"/>
      <w:bookmarkStart w:id="731" w:name="_Toc6469319"/>
      <w:bookmarkStart w:id="732" w:name="_Toc6675896"/>
      <w:bookmarkStart w:id="733" w:name="_Toc8726295"/>
      <w:bookmarkStart w:id="734" w:name="_Toc12868830"/>
      <w:bookmarkStart w:id="735" w:name="_Toc12958828"/>
      <w:bookmarkStart w:id="736" w:name="_Toc12959575"/>
      <w:bookmarkStart w:id="737" w:name="_Toc17273704"/>
      <w:r>
        <w:rPr>
          <w:rFonts w:hint="eastAsia"/>
          <w:b/>
        </w:rPr>
        <w:t>7.3</w:t>
      </w:r>
      <w:r>
        <w:rPr>
          <w:rFonts w:hint="eastAsia"/>
        </w:rPr>
        <w:t xml:space="preserve">  结构整体性能检验</w:t>
      </w:r>
      <w:bookmarkEnd w:id="729"/>
      <w:bookmarkEnd w:id="730"/>
      <w:bookmarkEnd w:id="731"/>
      <w:bookmarkEnd w:id="732"/>
      <w:bookmarkEnd w:id="733"/>
      <w:bookmarkEnd w:id="734"/>
      <w:bookmarkEnd w:id="735"/>
      <w:bookmarkEnd w:id="736"/>
      <w:bookmarkEnd w:id="737"/>
    </w:p>
    <w:p>
      <w:r>
        <w:rPr>
          <w:rFonts w:hint="eastAsia"/>
          <w:b/>
        </w:rPr>
        <w:t>7</w:t>
      </w:r>
      <w:r>
        <w:rPr>
          <w:b/>
        </w:rPr>
        <w:t>.</w:t>
      </w:r>
      <w:r>
        <w:rPr>
          <w:rFonts w:hint="eastAsia"/>
          <w:b/>
        </w:rPr>
        <w:t>3</w:t>
      </w:r>
      <w:r>
        <w:rPr>
          <w:b/>
        </w:rPr>
        <w:t xml:space="preserve">.1  </w:t>
      </w:r>
      <w:r>
        <w:t>本条规定了结构整体性能检验的内容。</w:t>
      </w:r>
      <w:r>
        <w:rPr>
          <w:rFonts w:hint="eastAsia"/>
        </w:rPr>
        <w:t>对采用新材料、新工艺、新型结构体系建造的装配式混凝土结构，或者对结构整体性能及质量存在怀疑时，可进行结构整体性能检验。</w:t>
      </w:r>
    </w:p>
    <w:p>
      <w:pPr>
        <w:rPr>
          <w:b/>
        </w:rPr>
      </w:pPr>
      <w:r>
        <w:rPr>
          <w:rFonts w:hint="eastAsia"/>
          <w:b/>
        </w:rPr>
        <w:t>7</w:t>
      </w:r>
      <w:r>
        <w:rPr>
          <w:b/>
        </w:rPr>
        <w:t>.</w:t>
      </w:r>
      <w:r>
        <w:rPr>
          <w:rFonts w:hint="eastAsia"/>
          <w:b/>
        </w:rPr>
        <w:t>3</w:t>
      </w:r>
      <w:r>
        <w:rPr>
          <w:b/>
        </w:rPr>
        <w:t>.</w:t>
      </w:r>
      <w:r>
        <w:rPr>
          <w:rFonts w:hint="eastAsia"/>
          <w:b/>
        </w:rPr>
        <w:t>2</w:t>
      </w:r>
      <w:r>
        <w:rPr>
          <w:b/>
        </w:rPr>
        <w:t xml:space="preserve">  </w:t>
      </w:r>
      <w:r>
        <w:rPr>
          <w:rFonts w:hint="eastAsia"/>
        </w:rPr>
        <w:t>建筑施工过程中及竣工验收前要进行垂直度测量。垂直度测量的目的主要是检查工程施工质量。</w:t>
      </w:r>
    </w:p>
    <w:p>
      <w:r>
        <w:rPr>
          <w:rFonts w:hint="eastAsia"/>
          <w:b/>
        </w:rPr>
        <w:t>7</w:t>
      </w:r>
      <w:r>
        <w:rPr>
          <w:b/>
        </w:rPr>
        <w:t>.</w:t>
      </w:r>
      <w:r>
        <w:rPr>
          <w:rFonts w:hint="eastAsia"/>
          <w:b/>
        </w:rPr>
        <w:t>3</w:t>
      </w:r>
      <w:r>
        <w:rPr>
          <w:b/>
        </w:rPr>
        <w:t>.</w:t>
      </w:r>
      <w:r>
        <w:rPr>
          <w:rFonts w:hint="eastAsia"/>
          <w:b/>
        </w:rPr>
        <w:t>3</w:t>
      </w:r>
      <w:r>
        <w:rPr>
          <w:b/>
        </w:rPr>
        <w:t xml:space="preserve">  </w:t>
      </w:r>
      <w:r>
        <w:rPr>
          <w:rFonts w:hint="eastAsia"/>
        </w:rPr>
        <w:t>结构构件性能检验在结构实体上进行的，由于受检结构和构件性能的不确定性，结构构件性能检验存在一定的风险，结构构件性能检验不仅可能造成受检构件的破坏，而且也可能造成相邻构件甚至整个结构的坍塌。因此，要求制定详尽的试验方案和具备实际经验的结构工程师现场指导。</w:t>
      </w:r>
    </w:p>
    <w:p>
      <w:r>
        <w:rPr>
          <w:rFonts w:hint="eastAsia"/>
          <w:b/>
        </w:rPr>
        <w:t>7</w:t>
      </w:r>
      <w:r>
        <w:rPr>
          <w:b/>
        </w:rPr>
        <w:t>.</w:t>
      </w:r>
      <w:r>
        <w:rPr>
          <w:rFonts w:hint="eastAsia"/>
          <w:b/>
        </w:rPr>
        <w:t>3</w:t>
      </w:r>
      <w:r>
        <w:rPr>
          <w:b/>
        </w:rPr>
        <w:t xml:space="preserve">.4  </w:t>
      </w:r>
      <w:r>
        <w:t>对</w:t>
      </w:r>
      <w:r>
        <w:rPr>
          <w:rFonts w:hint="eastAsia"/>
        </w:rPr>
        <w:t>装配式混凝土结构动力测试提出了相应的要求。</w:t>
      </w:r>
    </w:p>
    <w:p>
      <w:pPr>
        <w:sectPr>
          <w:pgSz w:w="7938" w:h="11510"/>
          <w:pgMar w:top="1083" w:right="1009" w:bottom="1083" w:left="1009" w:header="851" w:footer="992" w:gutter="0"/>
          <w:cols w:space="425" w:num="1"/>
          <w:docGrid w:type="lines" w:linePitch="312" w:charSpace="0"/>
        </w:sectPr>
      </w:pPr>
    </w:p>
    <w:p>
      <w:pPr>
        <w:pStyle w:val="2"/>
      </w:pPr>
      <w:bookmarkStart w:id="738" w:name="_Toc6675897"/>
      <w:bookmarkStart w:id="739" w:name="_Toc8726296"/>
      <w:bookmarkStart w:id="740" w:name="_Toc12868831"/>
      <w:bookmarkStart w:id="741" w:name="_Toc12958829"/>
      <w:bookmarkStart w:id="742" w:name="_Toc12959576"/>
      <w:bookmarkStart w:id="743" w:name="_Toc17273705"/>
      <w:r>
        <w:rPr>
          <w:rFonts w:hint="eastAsia"/>
        </w:rPr>
        <w:t>附录A</w:t>
      </w:r>
      <w:r>
        <w:t xml:space="preserve">  </w:t>
      </w:r>
      <w:r>
        <w:rPr>
          <w:rFonts w:hint="eastAsia"/>
        </w:rPr>
        <w:t>混凝土缺陷相控阵超声成像法</w:t>
      </w:r>
      <w:bookmarkEnd w:id="738"/>
      <w:bookmarkEnd w:id="739"/>
      <w:bookmarkEnd w:id="740"/>
      <w:bookmarkEnd w:id="741"/>
      <w:bookmarkEnd w:id="742"/>
      <w:bookmarkEnd w:id="743"/>
    </w:p>
    <w:p>
      <w:r>
        <w:rPr>
          <w:rFonts w:hint="eastAsia"/>
          <w:b/>
        </w:rPr>
        <w:t>A</w:t>
      </w:r>
      <w:r>
        <w:rPr>
          <w:b/>
        </w:rPr>
        <w:t>.0.1</w:t>
      </w:r>
      <w:r>
        <w:t xml:space="preserve">  </w:t>
      </w:r>
      <w:r>
        <w:rPr>
          <w:rFonts w:hint="eastAsia"/>
        </w:rPr>
        <w:t>本附录适用于混凝土内部缺陷和新旧混凝土结合面缺陷的检测，缺陷类型包含</w:t>
      </w:r>
      <w:r>
        <w:t>混凝土内的夹杂物、孔洞、</w:t>
      </w:r>
      <w:r>
        <w:rPr>
          <w:rFonts w:hint="eastAsia"/>
        </w:rPr>
        <w:t>分层、脱空、</w:t>
      </w:r>
      <w:r>
        <w:t>裂缝、内部蜂窝</w:t>
      </w:r>
      <w:r>
        <w:rPr>
          <w:rFonts w:hint="eastAsia"/>
        </w:rPr>
        <w:t>等，以及后浇混凝土与预制构件结合面不紧密、不密实等情况</w:t>
      </w:r>
      <w:r>
        <w:t>。</w:t>
      </w:r>
    </w:p>
    <w:p>
      <w:pPr>
        <w:tabs>
          <w:tab w:val="right" w:pos="5920"/>
        </w:tabs>
      </w:pPr>
      <w:r>
        <w:rPr>
          <w:rFonts w:hint="eastAsia"/>
          <w:b/>
        </w:rPr>
        <w:t>A.0.</w:t>
      </w:r>
      <w:r>
        <w:rPr>
          <w:b/>
        </w:rPr>
        <w:t>2</w:t>
      </w:r>
      <w:r>
        <w:rPr>
          <w:rFonts w:hint="eastAsia"/>
        </w:rPr>
        <w:t xml:space="preserve">  测试前应掌握测试对象的基本设计及施工过程概况，以免将构件内部预留管道、孔洞、预埋件等错误的判定为内部缺陷。</w:t>
      </w:r>
    </w:p>
    <w:p>
      <w:r>
        <w:rPr>
          <w:rFonts w:hint="eastAsia"/>
          <w:b/>
        </w:rPr>
        <w:t>A.0.</w:t>
      </w:r>
      <w:r>
        <w:rPr>
          <w:b/>
        </w:rPr>
        <w:t>3</w:t>
      </w:r>
      <w:r>
        <w:rPr>
          <w:rFonts w:hint="eastAsia"/>
        </w:rPr>
        <w:t xml:space="preserve">  本条规定了测试系统的基本功能及适用范围，针对不同厂家生产的仪器，适用范围可能有所不同，在条件允许的情况下，测试前可制作试块进行比对验证。</w:t>
      </w:r>
    </w:p>
    <w:p>
      <w:pPr>
        <w:rPr>
          <w:b/>
        </w:rPr>
      </w:pPr>
      <w:r>
        <w:rPr>
          <w:rFonts w:hint="eastAsia"/>
          <w:b/>
        </w:rPr>
        <w:t xml:space="preserve">A.0.4  </w:t>
      </w:r>
      <w:r>
        <w:rPr>
          <w:rFonts w:hint="eastAsia"/>
        </w:rPr>
        <w:t>正常情况下，测区的大小与测试系统所用探头的数量有关，可根据受检构件的尺寸、现场检测条件及仪器特点来划分测区大小及布置测区，应尽量避免构件边缘对测试结果造成的影响。</w:t>
      </w:r>
    </w:p>
    <w:p>
      <w:pPr>
        <w:rPr>
          <w:b/>
        </w:rPr>
      </w:pPr>
      <w:r>
        <w:rPr>
          <w:rFonts w:hint="eastAsia"/>
          <w:b/>
        </w:rPr>
        <w:t xml:space="preserve">A.0.8  </w:t>
      </w:r>
      <w:r>
        <w:rPr>
          <w:rFonts w:hint="eastAsia"/>
        </w:rPr>
        <w:t>为保证工程质量且便于实施，本条将被测构件的质量划分为三级，参照国家标准《混凝土结构工程施工质量验收规范》GB 50204的规定，给出了相应的处理措施与建议。</w:t>
      </w:r>
    </w:p>
    <w:p>
      <w:pPr>
        <w:ind w:firstLine="420" w:firstLineChars="200"/>
        <w:jc w:val="left"/>
      </w:pPr>
      <w:r>
        <w:rPr>
          <w:rFonts w:hint="eastAsia"/>
        </w:rPr>
        <w:t>对于预制构件内部的常见缺陷及其严重程度的划分，本条参照了国家标准《混凝土结构工程施工质量验收规范》GB 50204的规定，并结合预制构件的实际情况，对预制混凝土构件内部质量缺陷划分如下表：</w:t>
      </w:r>
    </w:p>
    <w:p>
      <w:pPr>
        <w:jc w:val="center"/>
        <w:rPr>
          <w:rFonts w:eastAsia="黑体"/>
          <w:bCs/>
          <w:sz w:val="18"/>
          <w:szCs w:val="18"/>
        </w:rPr>
      </w:pPr>
      <w:r>
        <w:rPr>
          <w:rFonts w:eastAsia="黑体"/>
          <w:bCs/>
          <w:sz w:val="18"/>
          <w:szCs w:val="18"/>
        </w:rPr>
        <w:t>表1  预制混凝土构件内部质量缺陷</w:t>
      </w:r>
    </w:p>
    <w:tbl>
      <w:tblPr>
        <w:tblStyle w:val="26"/>
        <w:tblW w:w="6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73"/>
        <w:gridCol w:w="191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7" w:type="dxa"/>
            <w:shd w:val="clear" w:color="auto" w:fill="auto"/>
            <w:vAlign w:val="center"/>
          </w:tcPr>
          <w:p>
            <w:pPr>
              <w:spacing w:line="240" w:lineRule="auto"/>
              <w:jc w:val="center"/>
              <w:rPr>
                <w:sz w:val="15"/>
                <w:szCs w:val="15"/>
              </w:rPr>
            </w:pPr>
            <w:r>
              <w:rPr>
                <w:rFonts w:hint="eastAsia"/>
                <w:sz w:val="15"/>
                <w:szCs w:val="15"/>
              </w:rPr>
              <w:t>名称</w:t>
            </w:r>
          </w:p>
        </w:tc>
        <w:tc>
          <w:tcPr>
            <w:tcW w:w="1773" w:type="dxa"/>
            <w:shd w:val="clear" w:color="auto" w:fill="auto"/>
            <w:vAlign w:val="center"/>
          </w:tcPr>
          <w:p>
            <w:pPr>
              <w:spacing w:line="240" w:lineRule="auto"/>
              <w:jc w:val="center"/>
              <w:rPr>
                <w:sz w:val="15"/>
                <w:szCs w:val="15"/>
              </w:rPr>
            </w:pPr>
            <w:r>
              <w:rPr>
                <w:rFonts w:hint="eastAsia"/>
                <w:sz w:val="15"/>
                <w:szCs w:val="15"/>
              </w:rPr>
              <w:t>现象</w:t>
            </w:r>
          </w:p>
        </w:tc>
        <w:tc>
          <w:tcPr>
            <w:tcW w:w="1913" w:type="dxa"/>
            <w:shd w:val="clear" w:color="auto" w:fill="auto"/>
            <w:vAlign w:val="center"/>
          </w:tcPr>
          <w:p>
            <w:pPr>
              <w:spacing w:line="240" w:lineRule="auto"/>
              <w:jc w:val="center"/>
              <w:rPr>
                <w:sz w:val="15"/>
                <w:szCs w:val="15"/>
              </w:rPr>
            </w:pPr>
            <w:r>
              <w:rPr>
                <w:rFonts w:hint="eastAsia"/>
                <w:sz w:val="15"/>
                <w:szCs w:val="15"/>
              </w:rPr>
              <w:t>严重缺陷</w:t>
            </w:r>
          </w:p>
        </w:tc>
        <w:tc>
          <w:tcPr>
            <w:tcW w:w="1633" w:type="dxa"/>
            <w:shd w:val="clear" w:color="auto" w:fill="auto"/>
            <w:vAlign w:val="center"/>
          </w:tcPr>
          <w:p>
            <w:pPr>
              <w:spacing w:line="240" w:lineRule="auto"/>
              <w:jc w:val="center"/>
              <w:rPr>
                <w:sz w:val="15"/>
                <w:szCs w:val="15"/>
              </w:rPr>
            </w:pPr>
            <w:r>
              <w:rPr>
                <w:rFonts w:hint="eastAsia"/>
                <w:sz w:val="15"/>
                <w:szCs w:val="15"/>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240" w:lineRule="auto"/>
              <w:jc w:val="center"/>
              <w:rPr>
                <w:sz w:val="15"/>
                <w:szCs w:val="15"/>
              </w:rPr>
            </w:pPr>
            <w:r>
              <w:rPr>
                <w:rFonts w:hint="eastAsia"/>
                <w:sz w:val="15"/>
                <w:szCs w:val="15"/>
              </w:rPr>
              <w:t>孔洞</w:t>
            </w:r>
          </w:p>
        </w:tc>
        <w:tc>
          <w:tcPr>
            <w:tcW w:w="1773" w:type="dxa"/>
            <w:shd w:val="clear" w:color="auto" w:fill="auto"/>
            <w:vAlign w:val="center"/>
          </w:tcPr>
          <w:p>
            <w:pPr>
              <w:spacing w:line="240" w:lineRule="auto"/>
              <w:rPr>
                <w:sz w:val="15"/>
                <w:szCs w:val="15"/>
              </w:rPr>
            </w:pPr>
            <w:r>
              <w:rPr>
                <w:rFonts w:hint="eastAsia"/>
                <w:sz w:val="15"/>
                <w:szCs w:val="15"/>
              </w:rPr>
              <w:t>混凝土构件内部有空腔，局部没有混凝土</w:t>
            </w:r>
          </w:p>
        </w:tc>
        <w:tc>
          <w:tcPr>
            <w:tcW w:w="1913" w:type="dxa"/>
            <w:shd w:val="clear" w:color="auto" w:fill="auto"/>
            <w:vAlign w:val="center"/>
          </w:tcPr>
          <w:p>
            <w:pPr>
              <w:spacing w:line="240" w:lineRule="auto"/>
              <w:jc w:val="center"/>
              <w:rPr>
                <w:sz w:val="15"/>
                <w:szCs w:val="15"/>
              </w:rPr>
            </w:pPr>
            <w:r>
              <w:rPr>
                <w:rFonts w:hint="eastAsia"/>
                <w:sz w:val="15"/>
                <w:szCs w:val="15"/>
              </w:rPr>
              <w:t>构件主要受力部位有孔洞</w:t>
            </w:r>
          </w:p>
        </w:tc>
        <w:tc>
          <w:tcPr>
            <w:tcW w:w="1633" w:type="dxa"/>
            <w:shd w:val="clear" w:color="auto" w:fill="auto"/>
            <w:vAlign w:val="center"/>
          </w:tcPr>
          <w:p>
            <w:pPr>
              <w:spacing w:line="240" w:lineRule="auto"/>
              <w:jc w:val="center"/>
              <w:rPr>
                <w:sz w:val="15"/>
                <w:szCs w:val="15"/>
              </w:rPr>
            </w:pPr>
            <w:r>
              <w:rPr>
                <w:rFonts w:hint="eastAsia"/>
                <w:sz w:val="15"/>
                <w:szCs w:val="15"/>
              </w:rPr>
              <w:t>其他部位有少量孔洞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240" w:lineRule="auto"/>
              <w:jc w:val="center"/>
              <w:rPr>
                <w:sz w:val="15"/>
                <w:szCs w:val="15"/>
              </w:rPr>
            </w:pPr>
            <w:r>
              <w:rPr>
                <w:rFonts w:hint="eastAsia"/>
                <w:sz w:val="15"/>
                <w:szCs w:val="15"/>
              </w:rPr>
              <w:t>夹渣</w:t>
            </w:r>
          </w:p>
        </w:tc>
        <w:tc>
          <w:tcPr>
            <w:tcW w:w="1773" w:type="dxa"/>
            <w:shd w:val="clear" w:color="auto" w:fill="auto"/>
            <w:vAlign w:val="center"/>
          </w:tcPr>
          <w:p>
            <w:pPr>
              <w:spacing w:line="240" w:lineRule="auto"/>
              <w:jc w:val="center"/>
              <w:rPr>
                <w:sz w:val="15"/>
                <w:szCs w:val="15"/>
              </w:rPr>
            </w:pPr>
            <w:r>
              <w:rPr>
                <w:rFonts w:hint="eastAsia"/>
                <w:sz w:val="15"/>
                <w:szCs w:val="15"/>
              </w:rPr>
              <w:t>混凝土构件内部有杂物</w:t>
            </w:r>
          </w:p>
        </w:tc>
        <w:tc>
          <w:tcPr>
            <w:tcW w:w="1913" w:type="dxa"/>
            <w:shd w:val="clear" w:color="auto" w:fill="auto"/>
            <w:vAlign w:val="center"/>
          </w:tcPr>
          <w:p>
            <w:pPr>
              <w:spacing w:line="240" w:lineRule="auto"/>
              <w:jc w:val="center"/>
              <w:rPr>
                <w:sz w:val="15"/>
                <w:szCs w:val="15"/>
              </w:rPr>
            </w:pPr>
            <w:r>
              <w:rPr>
                <w:rFonts w:hint="eastAsia"/>
                <w:sz w:val="15"/>
                <w:szCs w:val="15"/>
              </w:rPr>
              <w:t>构件主要受力部位有夹渣</w:t>
            </w:r>
          </w:p>
        </w:tc>
        <w:tc>
          <w:tcPr>
            <w:tcW w:w="1633" w:type="dxa"/>
            <w:shd w:val="clear" w:color="auto" w:fill="auto"/>
            <w:vAlign w:val="center"/>
          </w:tcPr>
          <w:p>
            <w:pPr>
              <w:spacing w:line="240" w:lineRule="auto"/>
              <w:jc w:val="center"/>
              <w:rPr>
                <w:sz w:val="15"/>
                <w:szCs w:val="15"/>
              </w:rPr>
            </w:pPr>
            <w:r>
              <w:rPr>
                <w:rFonts w:hint="eastAsia"/>
                <w:sz w:val="15"/>
                <w:szCs w:val="15"/>
              </w:rPr>
              <w:t>其他部位有少量夹渣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240" w:lineRule="auto"/>
              <w:jc w:val="center"/>
              <w:rPr>
                <w:sz w:val="15"/>
                <w:szCs w:val="15"/>
              </w:rPr>
            </w:pPr>
            <w:r>
              <w:rPr>
                <w:rFonts w:hint="eastAsia"/>
                <w:sz w:val="15"/>
                <w:szCs w:val="15"/>
              </w:rPr>
              <w:t>疏松</w:t>
            </w:r>
          </w:p>
        </w:tc>
        <w:tc>
          <w:tcPr>
            <w:tcW w:w="1773" w:type="dxa"/>
            <w:shd w:val="clear" w:color="auto" w:fill="auto"/>
            <w:vAlign w:val="center"/>
          </w:tcPr>
          <w:p>
            <w:pPr>
              <w:spacing w:line="240" w:lineRule="auto"/>
              <w:rPr>
                <w:sz w:val="15"/>
                <w:szCs w:val="15"/>
              </w:rPr>
            </w:pPr>
            <w:r>
              <w:rPr>
                <w:rFonts w:hint="eastAsia"/>
                <w:sz w:val="15"/>
                <w:szCs w:val="15"/>
              </w:rPr>
              <w:t>混凝土构件内部局部不密实</w:t>
            </w:r>
          </w:p>
        </w:tc>
        <w:tc>
          <w:tcPr>
            <w:tcW w:w="1913" w:type="dxa"/>
            <w:shd w:val="clear" w:color="auto" w:fill="auto"/>
            <w:vAlign w:val="center"/>
          </w:tcPr>
          <w:p>
            <w:pPr>
              <w:spacing w:line="240" w:lineRule="auto"/>
              <w:jc w:val="center"/>
              <w:rPr>
                <w:sz w:val="15"/>
                <w:szCs w:val="15"/>
              </w:rPr>
            </w:pPr>
            <w:r>
              <w:rPr>
                <w:rFonts w:hint="eastAsia"/>
                <w:sz w:val="15"/>
                <w:szCs w:val="15"/>
              </w:rPr>
              <w:t>构件主要受力部位有疏松</w:t>
            </w:r>
          </w:p>
        </w:tc>
        <w:tc>
          <w:tcPr>
            <w:tcW w:w="1633" w:type="dxa"/>
            <w:shd w:val="clear" w:color="auto" w:fill="auto"/>
            <w:vAlign w:val="center"/>
          </w:tcPr>
          <w:p>
            <w:pPr>
              <w:spacing w:line="240" w:lineRule="auto"/>
              <w:jc w:val="center"/>
              <w:rPr>
                <w:sz w:val="15"/>
                <w:szCs w:val="15"/>
              </w:rPr>
            </w:pPr>
            <w:r>
              <w:rPr>
                <w:rFonts w:hint="eastAsia"/>
                <w:sz w:val="15"/>
                <w:szCs w:val="15"/>
              </w:rPr>
              <w:t>其他部位有少量疏松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240" w:lineRule="auto"/>
              <w:jc w:val="center"/>
              <w:rPr>
                <w:sz w:val="15"/>
                <w:szCs w:val="15"/>
              </w:rPr>
            </w:pPr>
            <w:r>
              <w:rPr>
                <w:rFonts w:hint="eastAsia"/>
                <w:sz w:val="15"/>
                <w:szCs w:val="15"/>
              </w:rPr>
              <w:t>裂缝</w:t>
            </w:r>
          </w:p>
        </w:tc>
        <w:tc>
          <w:tcPr>
            <w:tcW w:w="1773" w:type="dxa"/>
            <w:shd w:val="clear" w:color="auto" w:fill="auto"/>
            <w:vAlign w:val="center"/>
          </w:tcPr>
          <w:p>
            <w:pPr>
              <w:spacing w:line="240" w:lineRule="auto"/>
              <w:rPr>
                <w:sz w:val="15"/>
                <w:szCs w:val="15"/>
              </w:rPr>
            </w:pPr>
            <w:r>
              <w:rPr>
                <w:rFonts w:hint="eastAsia"/>
                <w:sz w:val="15"/>
                <w:szCs w:val="15"/>
              </w:rPr>
              <w:t>混凝土构件内部存在裂缝</w:t>
            </w:r>
          </w:p>
        </w:tc>
        <w:tc>
          <w:tcPr>
            <w:tcW w:w="1913" w:type="dxa"/>
            <w:shd w:val="clear" w:color="auto" w:fill="auto"/>
            <w:vAlign w:val="center"/>
          </w:tcPr>
          <w:p>
            <w:pPr>
              <w:spacing w:line="240" w:lineRule="auto"/>
              <w:rPr>
                <w:sz w:val="15"/>
                <w:szCs w:val="15"/>
              </w:rPr>
            </w:pPr>
            <w:r>
              <w:rPr>
                <w:rFonts w:hint="eastAsia"/>
                <w:sz w:val="15"/>
                <w:szCs w:val="15"/>
              </w:rPr>
              <w:t>构件主要受力部位有影响结构性能或使用功能的裂缝</w:t>
            </w:r>
          </w:p>
        </w:tc>
        <w:tc>
          <w:tcPr>
            <w:tcW w:w="1633" w:type="dxa"/>
            <w:shd w:val="clear" w:color="auto" w:fill="auto"/>
            <w:vAlign w:val="center"/>
          </w:tcPr>
          <w:p>
            <w:pPr>
              <w:spacing w:line="240" w:lineRule="auto"/>
              <w:rPr>
                <w:sz w:val="15"/>
                <w:szCs w:val="15"/>
              </w:rPr>
            </w:pPr>
            <w:r>
              <w:rPr>
                <w:rFonts w:hint="eastAsia"/>
                <w:sz w:val="15"/>
                <w:szCs w:val="15"/>
              </w:rPr>
              <w:t>其他部位有少量不影响结构性能或使用功能的裂缝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240" w:lineRule="auto"/>
              <w:jc w:val="center"/>
              <w:rPr>
                <w:sz w:val="15"/>
                <w:szCs w:val="15"/>
              </w:rPr>
            </w:pPr>
            <w:r>
              <w:rPr>
                <w:rFonts w:hint="eastAsia"/>
                <w:sz w:val="15"/>
                <w:szCs w:val="15"/>
              </w:rPr>
              <w:t>界面缺陷</w:t>
            </w:r>
          </w:p>
        </w:tc>
        <w:tc>
          <w:tcPr>
            <w:tcW w:w="1773" w:type="dxa"/>
            <w:shd w:val="clear" w:color="auto" w:fill="auto"/>
            <w:vAlign w:val="center"/>
          </w:tcPr>
          <w:p>
            <w:pPr>
              <w:spacing w:line="240" w:lineRule="auto"/>
              <w:rPr>
                <w:sz w:val="15"/>
                <w:szCs w:val="15"/>
              </w:rPr>
            </w:pPr>
            <w:r>
              <w:rPr>
                <w:rFonts w:hint="eastAsia"/>
                <w:sz w:val="15"/>
                <w:szCs w:val="15"/>
              </w:rPr>
              <w:t>新旧混凝土结合面胶结不紧密</w:t>
            </w:r>
          </w:p>
        </w:tc>
        <w:tc>
          <w:tcPr>
            <w:tcW w:w="1913" w:type="dxa"/>
            <w:shd w:val="clear" w:color="auto" w:fill="auto"/>
            <w:vAlign w:val="center"/>
          </w:tcPr>
          <w:p>
            <w:pPr>
              <w:spacing w:line="240" w:lineRule="auto"/>
              <w:jc w:val="center"/>
              <w:rPr>
                <w:sz w:val="15"/>
                <w:szCs w:val="15"/>
              </w:rPr>
            </w:pPr>
            <w:r>
              <w:rPr>
                <w:rFonts w:hint="eastAsia"/>
                <w:sz w:val="15"/>
                <w:szCs w:val="15"/>
              </w:rPr>
              <w:t>多处结合面有明显缺陷</w:t>
            </w:r>
          </w:p>
        </w:tc>
        <w:tc>
          <w:tcPr>
            <w:tcW w:w="1633" w:type="dxa"/>
            <w:shd w:val="clear" w:color="auto" w:fill="auto"/>
            <w:vAlign w:val="center"/>
          </w:tcPr>
          <w:p>
            <w:pPr>
              <w:spacing w:line="240" w:lineRule="auto"/>
              <w:rPr>
                <w:sz w:val="15"/>
                <w:szCs w:val="15"/>
              </w:rPr>
            </w:pPr>
            <w:r>
              <w:rPr>
                <w:rFonts w:hint="eastAsia"/>
                <w:sz w:val="15"/>
                <w:szCs w:val="15"/>
              </w:rPr>
              <w:t>少量结合面有缺陷，或结合面缺陷不明显</w:t>
            </w:r>
          </w:p>
        </w:tc>
      </w:tr>
    </w:tbl>
    <w:p/>
    <w:p>
      <w:pPr>
        <w:sectPr>
          <w:pgSz w:w="7938" w:h="11510"/>
          <w:pgMar w:top="1083" w:right="1009" w:bottom="1083" w:left="1009" w:header="851" w:footer="992" w:gutter="0"/>
          <w:cols w:space="425" w:num="1"/>
          <w:docGrid w:type="lines" w:linePitch="312" w:charSpace="0"/>
        </w:sectPr>
      </w:pPr>
    </w:p>
    <w:p>
      <w:pPr>
        <w:pStyle w:val="2"/>
      </w:pPr>
      <w:bookmarkStart w:id="744" w:name="_Toc6317652"/>
      <w:bookmarkStart w:id="745" w:name="_Toc6324947"/>
      <w:bookmarkStart w:id="746" w:name="_Toc6469321"/>
      <w:bookmarkStart w:id="747" w:name="_Toc6675898"/>
      <w:bookmarkStart w:id="748" w:name="_Toc8726297"/>
      <w:bookmarkStart w:id="749" w:name="_Toc12868832"/>
      <w:bookmarkStart w:id="750" w:name="_Toc12958830"/>
      <w:bookmarkStart w:id="751" w:name="_Toc12959577"/>
      <w:bookmarkStart w:id="752" w:name="_Toc17273706"/>
      <w:r>
        <w:rPr>
          <w:rFonts w:hint="eastAsia"/>
        </w:rPr>
        <w:t>附录B</w:t>
      </w:r>
      <w:r>
        <w:t xml:space="preserve">  </w:t>
      </w:r>
      <w:r>
        <w:rPr>
          <w:rFonts w:hint="eastAsia"/>
        </w:rPr>
        <w:t>预制构件粗糙面</w:t>
      </w:r>
      <w:bookmarkEnd w:id="744"/>
      <w:bookmarkEnd w:id="745"/>
      <w:bookmarkEnd w:id="746"/>
      <w:r>
        <w:rPr>
          <w:rFonts w:hint="eastAsia"/>
        </w:rPr>
        <w:t>凹凸深度检测方法</w:t>
      </w:r>
      <w:bookmarkEnd w:id="747"/>
      <w:bookmarkEnd w:id="748"/>
      <w:bookmarkEnd w:id="749"/>
      <w:bookmarkEnd w:id="750"/>
      <w:bookmarkEnd w:id="751"/>
      <w:bookmarkEnd w:id="752"/>
    </w:p>
    <w:p>
      <w:r>
        <w:rPr>
          <w:rFonts w:hint="eastAsia"/>
          <w:b/>
        </w:rPr>
        <w:t>B</w:t>
      </w:r>
      <w:r>
        <w:rPr>
          <w:b/>
        </w:rPr>
        <w:t xml:space="preserve">.0.1  </w:t>
      </w:r>
      <w:r>
        <w:rPr>
          <w:rFonts w:hint="eastAsia"/>
        </w:rPr>
        <w:t>粗糙面的形成方式有花锤打毛、砂轮机打毛、高压水射流打毛、人工划痕、人工凿槽、自然粗糙面等，本方法适用于设置于叠合面（梁、板）、梁端、柱端、剪力墙端及侧面粗糙面质量检验，空腔柱内表面、双面叠合剪力墙内表面因空间受限，不适用本方法。</w:t>
      </w:r>
    </w:p>
    <w:p>
      <w:pPr>
        <w:ind w:firstLine="420" w:firstLineChars="200"/>
      </w:pPr>
      <w:r>
        <w:rPr>
          <w:rFonts w:hint="eastAsia"/>
        </w:rPr>
        <w:t>根据国际结构混凝土协会（FIB）发布的《模式规范》（MC</w:t>
      </w:r>
      <w:r>
        <w:t xml:space="preserve"> </w:t>
      </w:r>
      <w:r>
        <w:rPr>
          <w:rFonts w:hint="eastAsia"/>
        </w:rPr>
        <w:t>2010）对粗糙度有两种定义，一种是平均粗糙度R</w:t>
      </w:r>
      <w:r>
        <w:rPr>
          <w:rFonts w:hint="eastAsia"/>
          <w:i/>
          <w:vertAlign w:val="subscript"/>
        </w:rPr>
        <w:t>m</w:t>
      </w:r>
      <w:r>
        <w:rPr>
          <w:rFonts w:hint="eastAsia"/>
        </w:rPr>
        <w:t>，另一种是峰谷粗糙度R</w:t>
      </w:r>
      <w:r>
        <w:rPr>
          <w:rFonts w:hint="eastAsia"/>
          <w:i/>
          <w:vertAlign w:val="subscript"/>
        </w:rPr>
        <w:t>z</w:t>
      </w:r>
      <w:r>
        <w:rPr>
          <w:rFonts w:hint="eastAsia"/>
        </w:rPr>
        <w:t>。该两种定义既考虑了垂直于粗糙面“峰谷”的高差（即深度），又考虑了粗糙面“峰谷”在长度方向的分布（即密度），较为科学。但实际应用时，现有的测量方法（如灌沙法等）操作时对构件的放置角度有硬性要求，流程复杂、操作不便；目前，国内现行设计规范主要通过粗糙面占结合面面积比例和粗糙面凹凸深度两个指标对粗糙度质量进行衡量。</w:t>
      </w:r>
    </w:p>
    <w:p>
      <w:pPr>
        <w:ind w:firstLine="420" w:firstLineChars="200"/>
      </w:pPr>
      <w:r>
        <w:rPr>
          <w:rFonts w:hint="eastAsia"/>
        </w:rPr>
        <w:t>本标准在此基础上提出以检验粗糙面“单位面积上的凹凸深度值”作为评价指标，即要求在给定的预制构件粗糙面上，随机选取若干个固定形状、固定面积的粗糙面作为测区，在测区内至少有一处“粗糙面凹凸深度”达到规定深度。随着选取的单个测区面积减小，当该测区满足至少有1个测点的粗糙面凹凸深度达到规定值的条件时，相应的粗糙面设置效果为更好。当减小测区给定面积时，该指标与模式规范提出的平均粗糙度、峰谷粗糙度正相关；且该指标为直接测量的凹凸深度，与现行设计规范中对粗糙面凹凸深度的要求相配套。试验结果表明，测区的直径为2~3倍最大骨料粒径较为合适，测区直径宜定为70~100mm之间。</w:t>
      </w:r>
    </w:p>
    <w:p>
      <w:r>
        <w:rPr>
          <w:rFonts w:hint="eastAsia"/>
          <w:b/>
        </w:rPr>
        <w:t>B.0</w:t>
      </w:r>
      <w:r>
        <w:rPr>
          <w:b/>
        </w:rPr>
        <w:t xml:space="preserve">.2  </w:t>
      </w:r>
      <w:r>
        <w:rPr>
          <w:rFonts w:hint="eastAsia"/>
        </w:rPr>
        <w:t>贯入深度测量表宜采用数显式。基准板的作用除了为凹坑或凹槽测深提供基准平面，也可辅助圆形测区的布置。</w:t>
      </w:r>
    </w:p>
    <w:p>
      <w:r>
        <w:rPr>
          <w:rFonts w:hint="eastAsia"/>
          <w:b/>
        </w:rPr>
        <w:t>B.0.</w:t>
      </w:r>
      <w:r>
        <w:rPr>
          <w:b/>
        </w:rPr>
        <w:t xml:space="preserve">5  </w:t>
      </w:r>
      <w:r>
        <w:rPr>
          <w:rFonts w:hint="eastAsia"/>
        </w:rPr>
        <w:t>采用探针尺及基准板测量时，可将基准板覆盖在选定范围（给定面积）上，然后将探针尺的探针插入基准板中心圆孔，并按下探针尺使基座与基准板贴合，读取第1个测点测量深度</w:t>
      </w:r>
      <w:r>
        <w:rPr>
          <w:rFonts w:hint="eastAsia"/>
          <w:i/>
        </w:rPr>
        <w:t>d</w:t>
      </w:r>
      <w:r>
        <w:rPr>
          <w:rFonts w:hint="eastAsia"/>
          <w:vertAlign w:val="subscript"/>
        </w:rPr>
        <w:t>1</w:t>
      </w:r>
      <w:r>
        <w:rPr>
          <w:rFonts w:hint="eastAsia"/>
        </w:rPr>
        <w:t>；分别移动基准板和探针尺，读取该选定范围（给定面积）第</w:t>
      </w:r>
      <w:r>
        <w:rPr>
          <w:rFonts w:hint="eastAsia"/>
          <w:i/>
        </w:rPr>
        <w:t>i</w:t>
      </w:r>
      <w:r>
        <w:rPr>
          <w:rFonts w:hint="eastAsia"/>
        </w:rPr>
        <w:t>个测点测量深度</w:t>
      </w:r>
      <w:r>
        <w:rPr>
          <w:rFonts w:hint="eastAsia"/>
          <w:i/>
        </w:rPr>
        <w:t>d</w:t>
      </w:r>
      <w:r>
        <w:rPr>
          <w:rFonts w:hint="eastAsia"/>
          <w:i/>
          <w:vertAlign w:val="subscript"/>
        </w:rPr>
        <w:t>i</w:t>
      </w:r>
      <w:r>
        <w:rPr>
          <w:rFonts w:hint="eastAsia"/>
        </w:rPr>
        <w:t>。</w:t>
      </w:r>
    </w:p>
    <w:p>
      <w:pPr>
        <w:ind w:firstLine="420" w:firstLineChars="200"/>
      </w:pPr>
      <w:r>
        <w:rPr>
          <w:rFonts w:hint="eastAsia"/>
        </w:rPr>
        <w:t>第</w:t>
      </w:r>
      <w:r>
        <w:rPr>
          <w:rFonts w:hint="eastAsia"/>
          <w:i/>
        </w:rPr>
        <w:t>i</w:t>
      </w:r>
      <w:r>
        <w:rPr>
          <w:rFonts w:hint="eastAsia"/>
        </w:rPr>
        <w:t>个测点凹凸深度</w:t>
      </w:r>
      <w:r>
        <w:rPr>
          <w:rFonts w:hint="eastAsia"/>
          <w:i/>
        </w:rPr>
        <w:t>D</w:t>
      </w:r>
      <w:r>
        <w:rPr>
          <w:rFonts w:hint="eastAsia"/>
          <w:i/>
          <w:vertAlign w:val="subscript"/>
        </w:rPr>
        <w:t>i</w:t>
      </w:r>
      <w:r>
        <w:rPr>
          <w:rFonts w:hint="eastAsia"/>
        </w:rPr>
        <w:t>的计算方法为：</w:t>
      </w:r>
      <w:r>
        <w:rPr>
          <w:rFonts w:hint="eastAsia"/>
          <w:i/>
        </w:rPr>
        <w:t>D</w:t>
      </w:r>
      <w:r>
        <w:rPr>
          <w:rFonts w:hint="eastAsia"/>
          <w:i/>
          <w:vertAlign w:val="subscript"/>
        </w:rPr>
        <w:t>i</w:t>
      </w:r>
      <w:r>
        <w:rPr>
          <w:rFonts w:hint="eastAsia"/>
        </w:rPr>
        <w:t>=</w:t>
      </w:r>
      <w:r>
        <w:rPr>
          <w:rFonts w:hint="eastAsia"/>
          <w:i/>
        </w:rPr>
        <w:t>d</w:t>
      </w:r>
      <w:r>
        <w:rPr>
          <w:rFonts w:hint="eastAsia"/>
          <w:i/>
          <w:vertAlign w:val="subscript"/>
        </w:rPr>
        <w:t>i</w:t>
      </w:r>
      <w:r>
        <w:rPr>
          <w:rFonts w:hint="eastAsia"/>
        </w:rPr>
        <w:t>-</w:t>
      </w:r>
      <w:r>
        <w:rPr>
          <w:rFonts w:hint="eastAsia"/>
          <w:i/>
        </w:rPr>
        <w:t>d</w:t>
      </w:r>
      <w:r>
        <w:rPr>
          <w:rFonts w:hint="eastAsia"/>
        </w:rPr>
        <w:t>；当第</w:t>
      </w:r>
      <w:r>
        <w:rPr>
          <w:rFonts w:hint="eastAsia"/>
          <w:i/>
        </w:rPr>
        <w:t>n</w:t>
      </w:r>
      <w:r>
        <w:rPr>
          <w:rFonts w:hint="eastAsia"/>
        </w:rPr>
        <w:t>个测点凹凸深度</w:t>
      </w:r>
      <w:r>
        <w:rPr>
          <w:rFonts w:hint="eastAsia"/>
          <w:i/>
        </w:rPr>
        <w:t>D</w:t>
      </w:r>
      <w:r>
        <w:rPr>
          <w:rFonts w:hint="eastAsia"/>
          <w:i/>
          <w:vertAlign w:val="subscript"/>
        </w:rPr>
        <w:t>n</w:t>
      </w:r>
      <w:r>
        <w:rPr>
          <w:rFonts w:hint="eastAsia"/>
        </w:rPr>
        <w:t>大于规范给定的粗糙面凹凸深度值时，可认为该测区的粗糙面上的凹凸深度满足规范要求。</w:t>
      </w:r>
    </w:p>
    <w:p>
      <w:pPr>
        <w:sectPr>
          <w:pgSz w:w="7938" w:h="11510"/>
          <w:pgMar w:top="1083" w:right="1009" w:bottom="1083" w:left="1009" w:header="851" w:footer="992" w:gutter="0"/>
          <w:cols w:space="425" w:num="1"/>
          <w:docGrid w:type="lines" w:linePitch="312" w:charSpace="0"/>
        </w:sectPr>
      </w:pPr>
    </w:p>
    <w:p>
      <w:pPr>
        <w:pStyle w:val="2"/>
        <w:ind w:left="1120" w:hanging="1120" w:hangingChars="400"/>
        <w:jc w:val="both"/>
      </w:pPr>
      <w:bookmarkStart w:id="753" w:name="_Toc6317656"/>
      <w:bookmarkStart w:id="754" w:name="_Toc6324952"/>
      <w:bookmarkStart w:id="755" w:name="_Toc6469326"/>
      <w:bookmarkStart w:id="756" w:name="_Toc6675899"/>
      <w:bookmarkStart w:id="757" w:name="_Toc8726298"/>
      <w:bookmarkStart w:id="758" w:name="_Toc12868833"/>
      <w:bookmarkStart w:id="759" w:name="_Toc12958831"/>
      <w:bookmarkStart w:id="760" w:name="_Toc12959578"/>
      <w:bookmarkStart w:id="761" w:name="_Toc17273707"/>
      <w:r>
        <w:rPr>
          <w:rFonts w:hint="eastAsia"/>
        </w:rPr>
        <w:t>附录</w:t>
      </w:r>
      <w:r>
        <w:t>C</w:t>
      </w:r>
      <w:r>
        <w:rPr>
          <w:rFonts w:hint="eastAsia"/>
        </w:rPr>
        <w:t xml:space="preserve">  用于量测灌浆套筒及连接钢筋中心线位置的坐标定位法</w:t>
      </w:r>
      <w:bookmarkEnd w:id="753"/>
      <w:bookmarkEnd w:id="754"/>
      <w:bookmarkEnd w:id="755"/>
      <w:bookmarkEnd w:id="756"/>
      <w:bookmarkEnd w:id="757"/>
      <w:bookmarkEnd w:id="758"/>
      <w:bookmarkEnd w:id="759"/>
      <w:bookmarkEnd w:id="760"/>
      <w:bookmarkEnd w:id="761"/>
    </w:p>
    <w:p>
      <w:r>
        <w:rPr>
          <w:rFonts w:hint="eastAsia"/>
          <w:b/>
          <w:bCs/>
        </w:rPr>
        <w:t>C.0.1</w:t>
      </w:r>
      <w:r>
        <w:rPr>
          <w:b/>
          <w:bCs/>
        </w:rPr>
        <w:t xml:space="preserve">  </w:t>
      </w:r>
      <w:r>
        <w:rPr>
          <w:rFonts w:hint="eastAsia"/>
        </w:rPr>
        <w:t>采用套筒灌浆连接的预制构件，安装时，要确保全部连接钢筋能准确插入对应套筒，任意一个位置的连接钢筋和套筒发生较大偏差都会导致整个构件无法正常安装。目前，对连接钢筋和套筒中心线位置的检查普遍采用卷尺测量，这种测量方法精度不高，不能全面反映预制构件上连接钢筋及其对应套筒的整体偏差情况，会出现连接钢筋和套筒中心线位置的检查合格的预制构件无法正常安装的情况。在实际工程中，部分工程也采用专用模板进行现场检查，但无法定量量测偏差。</w:t>
      </w:r>
    </w:p>
    <w:p>
      <w:pPr>
        <w:ind w:firstLine="420" w:firstLineChars="200"/>
      </w:pPr>
      <w:r>
        <w:rPr>
          <w:rFonts w:hint="eastAsia"/>
        </w:rPr>
        <w:t>本方法通过分别测量连接钢筋和套筒的间距，计算得到每个点中心线位置的相对坐标，可反映相应预制构件上所有连接钢筋和对应套筒的中心位置的偏差情况。</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C.0.2</w:t>
      </w:r>
      <w:r>
        <w:rPr>
          <w:rFonts w:hint="eastAsia"/>
          <w:color w:val="000000" w:themeColor="text1"/>
          <w14:textFill>
            <w14:solidFill>
              <w14:schemeClr w14:val="tx1"/>
            </w14:solidFill>
          </w14:textFill>
        </w:rPr>
        <w:t xml:space="preserve">  对预制墙板、柱的灌浆套筒和连接钢筋建立统一的平面直角坐标系，其目的是可以分别对灌浆套筒和连接钢筋建立一一对应的坐标，以便求得坐标之间的差值，即灌浆套筒及连接钢筋中心线位置偏差。</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C.0.3</w:t>
      </w:r>
      <w:r>
        <w:rPr>
          <w:rFonts w:hint="eastAsia"/>
          <w:color w:val="000000" w:themeColor="text1"/>
          <w14:textFill>
            <w14:solidFill>
              <w14:schemeClr w14:val="tx1"/>
            </w14:solidFill>
          </w14:textFill>
        </w:rPr>
        <w:t xml:space="preserve">  本条给出了灌浆套筒和连接钢筋坐标的确定方法。</w:t>
      </w:r>
    </w:p>
    <w:p>
      <w:pPr>
        <w:sectPr>
          <w:pgSz w:w="7938" w:h="11510"/>
          <w:pgMar w:top="1083" w:right="1009" w:bottom="1083" w:left="1009" w:header="851" w:footer="992" w:gutter="0"/>
          <w:cols w:space="425" w:num="1"/>
          <w:docGrid w:type="lines" w:linePitch="312" w:charSpace="0"/>
        </w:sectPr>
      </w:pPr>
    </w:p>
    <w:p>
      <w:pPr>
        <w:pStyle w:val="2"/>
        <w:ind w:left="1162" w:hanging="1162" w:hangingChars="415"/>
        <w:jc w:val="both"/>
      </w:pPr>
      <w:bookmarkStart w:id="762" w:name="_Toc6317654"/>
      <w:bookmarkStart w:id="763" w:name="_Toc6324949"/>
      <w:bookmarkStart w:id="764" w:name="_Toc6469323"/>
      <w:bookmarkStart w:id="765" w:name="_Toc6675900"/>
      <w:bookmarkStart w:id="766" w:name="_Toc8726299"/>
      <w:bookmarkStart w:id="767" w:name="_Toc12868834"/>
      <w:bookmarkStart w:id="768" w:name="_Toc12958832"/>
      <w:bookmarkStart w:id="769" w:name="_Toc12959579"/>
      <w:bookmarkStart w:id="770" w:name="_Toc17273708"/>
      <w:r>
        <w:rPr>
          <w:rFonts w:hint="eastAsia"/>
        </w:rPr>
        <w:t>附录</w:t>
      </w:r>
      <w:r>
        <w:t>D</w:t>
      </w:r>
      <w:r>
        <w:rPr>
          <w:rFonts w:hint="eastAsia"/>
        </w:rPr>
        <w:t xml:space="preserve">  用于检测套筒灌浆饱满度的预埋传感器法</w:t>
      </w:r>
      <w:bookmarkEnd w:id="762"/>
      <w:bookmarkEnd w:id="763"/>
      <w:bookmarkEnd w:id="764"/>
      <w:bookmarkEnd w:id="765"/>
      <w:bookmarkEnd w:id="766"/>
      <w:bookmarkEnd w:id="767"/>
      <w:bookmarkEnd w:id="768"/>
      <w:bookmarkEnd w:id="769"/>
      <w:bookmarkEnd w:id="770"/>
    </w:p>
    <w:p>
      <w:pPr>
        <w:rPr>
          <w:szCs w:val="21"/>
        </w:rPr>
      </w:pPr>
      <w:r>
        <w:rPr>
          <w:rFonts w:hint="eastAsia"/>
          <w:b/>
          <w:szCs w:val="21"/>
        </w:rPr>
        <w:t>D.0.1</w:t>
      </w:r>
      <w:r>
        <w:rPr>
          <w:b/>
          <w:szCs w:val="21"/>
        </w:rPr>
        <w:t xml:space="preserve">  </w:t>
      </w:r>
      <w:r>
        <w:rPr>
          <w:rFonts w:hint="eastAsia"/>
          <w:szCs w:val="21"/>
        </w:rPr>
        <w:t>灌浆饱满度检测仪和专用传感器应通过技术鉴定，并应具有产品合格证书和定期计量检定证书。</w:t>
      </w:r>
    </w:p>
    <w:p>
      <w:pPr>
        <w:rPr>
          <w:szCs w:val="21"/>
        </w:rPr>
      </w:pPr>
      <w:r>
        <w:rPr>
          <w:rFonts w:hint="eastAsia"/>
          <w:b/>
          <w:bCs/>
          <w:szCs w:val="21"/>
        </w:rPr>
        <w:t>D.0.2</w:t>
      </w:r>
      <w:r>
        <w:rPr>
          <w:szCs w:val="21"/>
        </w:rPr>
        <w:t xml:space="preserve">  </w:t>
      </w:r>
      <w:r>
        <w:rPr>
          <w:rFonts w:hint="eastAsia"/>
          <w:szCs w:val="21"/>
        </w:rPr>
        <w:t>本条对传感器放置方式作出规定。</w:t>
      </w:r>
    </w:p>
    <w:p>
      <w:pPr>
        <w:rPr>
          <w:szCs w:val="21"/>
        </w:rPr>
      </w:pPr>
      <w:r>
        <w:rPr>
          <w:rFonts w:hint="eastAsia"/>
          <w:b/>
          <w:bCs/>
          <w:szCs w:val="21"/>
        </w:rPr>
        <w:t>D.0.3</w:t>
      </w:r>
      <w:r>
        <w:rPr>
          <w:b/>
          <w:bCs/>
          <w:szCs w:val="21"/>
        </w:rPr>
        <w:t xml:space="preserve">  </w:t>
      </w:r>
      <w:r>
        <w:rPr>
          <w:rFonts w:hint="eastAsia"/>
          <w:szCs w:val="21"/>
        </w:rPr>
        <w:t>连通腔灌浆时，通常可选择距离灌浆口套筒最远处的套筒作为实时检测对象；单独灌浆时，对每个套筒都可以进行实时检测。</w:t>
      </w:r>
    </w:p>
    <w:p>
      <w:pPr>
        <w:rPr>
          <w:szCs w:val="21"/>
        </w:rPr>
      </w:pPr>
      <w:r>
        <w:rPr>
          <w:rFonts w:hint="eastAsia"/>
          <w:b/>
          <w:bCs/>
          <w:szCs w:val="21"/>
        </w:rPr>
        <w:t>D.0.4</w:t>
      </w:r>
      <w:r>
        <w:rPr>
          <w:b/>
          <w:bCs/>
          <w:szCs w:val="21"/>
        </w:rPr>
        <w:t xml:space="preserve">  </w:t>
      </w:r>
      <w:r>
        <w:rPr>
          <w:rFonts w:hint="eastAsia"/>
          <w:szCs w:val="21"/>
        </w:rPr>
        <w:t>本条对检测记录时间间隔提出要求。</w:t>
      </w:r>
    </w:p>
    <w:p>
      <w:pPr>
        <w:rPr>
          <w:szCs w:val="21"/>
        </w:rPr>
      </w:pPr>
      <w:r>
        <w:rPr>
          <w:b/>
          <w:szCs w:val="21"/>
        </w:rPr>
        <w:t>D</w:t>
      </w:r>
      <w:r>
        <w:rPr>
          <w:rFonts w:hint="eastAsia"/>
          <w:b/>
          <w:szCs w:val="21"/>
        </w:rPr>
        <w:t>.0.</w:t>
      </w:r>
      <w:r>
        <w:rPr>
          <w:b/>
          <w:szCs w:val="21"/>
        </w:rPr>
        <w:t>5</w:t>
      </w:r>
      <w:r>
        <w:rPr>
          <w:szCs w:val="21"/>
        </w:rPr>
        <w:t xml:space="preserve">  </w:t>
      </w:r>
      <w:r>
        <w:rPr>
          <w:rFonts w:hint="eastAsia"/>
          <w:szCs w:val="21"/>
        </w:rPr>
        <w:t>大量试验表明，灌浆料饱满时传感器振动能量值大多处于20～60之间，极个别＞60，但不超过100。若灌浆饱满后漏浆，传感器的振动能量值在一段时间内增加。</w:t>
      </w:r>
    </w:p>
    <w:p>
      <w:pPr>
        <w:ind w:firstLine="420" w:firstLineChars="200"/>
        <w:rPr>
          <w:szCs w:val="21"/>
        </w:rPr>
      </w:pPr>
      <w:r>
        <w:rPr>
          <w:rFonts w:hint="eastAsia"/>
          <w:szCs w:val="21"/>
        </w:rPr>
        <w:t>对判断灌浆不饱满的套筒需立即进行补灌处理。补灌优先从原连通腔灌浆孔补灌；从原连通腔灌浆孔补灌效果不佳时，可从不饱满套筒的灌浆孔进行补灌。补灌后需对原灌浆不饱满套筒的灌浆饱满度进行复测，直至灌浆饱满。</w:t>
      </w:r>
    </w:p>
    <w:p>
      <w:pPr>
        <w:rPr>
          <w:b/>
          <w:sz w:val="18"/>
          <w:szCs w:val="18"/>
        </w:rPr>
      </w:pPr>
    </w:p>
    <w:p>
      <w:pPr>
        <w:sectPr>
          <w:pgSz w:w="7938" w:h="11510"/>
          <w:pgMar w:top="1083" w:right="1009" w:bottom="1083" w:left="1009" w:header="851" w:footer="992" w:gutter="0"/>
          <w:cols w:space="425" w:num="1"/>
          <w:docGrid w:type="lines" w:linePitch="312" w:charSpace="0"/>
        </w:sectPr>
      </w:pPr>
    </w:p>
    <w:p>
      <w:pPr>
        <w:pStyle w:val="2"/>
      </w:pPr>
      <w:bookmarkStart w:id="771" w:name="_Toc6317653"/>
      <w:bookmarkStart w:id="772" w:name="_Toc6324948"/>
      <w:bookmarkStart w:id="773" w:name="_Toc6469322"/>
      <w:bookmarkStart w:id="774" w:name="_Toc6675901"/>
      <w:bookmarkStart w:id="775" w:name="_Toc8726300"/>
      <w:bookmarkStart w:id="776" w:name="_Toc12868835"/>
      <w:bookmarkStart w:id="777" w:name="_Toc12958833"/>
      <w:bookmarkStart w:id="778" w:name="_Toc12959580"/>
      <w:bookmarkStart w:id="779" w:name="_Toc17273709"/>
      <w:r>
        <w:rPr>
          <w:rFonts w:hint="eastAsia"/>
        </w:rPr>
        <w:t>附录E  隔墙冲击试验</w:t>
      </w:r>
      <w:bookmarkEnd w:id="771"/>
      <w:bookmarkEnd w:id="772"/>
      <w:bookmarkEnd w:id="773"/>
      <w:bookmarkEnd w:id="774"/>
      <w:bookmarkEnd w:id="775"/>
      <w:bookmarkEnd w:id="776"/>
      <w:bookmarkEnd w:id="777"/>
      <w:bookmarkEnd w:id="778"/>
      <w:bookmarkEnd w:id="779"/>
    </w:p>
    <w:p>
      <w:pPr>
        <w:pStyle w:val="46"/>
        <w:rPr>
          <w:rFonts w:eastAsia="宋体"/>
          <w:color w:val="auto"/>
        </w:rPr>
      </w:pPr>
      <w:r>
        <w:rPr>
          <w:rFonts w:hint="eastAsia"/>
          <w:b/>
        </w:rPr>
        <w:t>E.0.</w:t>
      </w:r>
      <w:r>
        <w:rPr>
          <w:b/>
        </w:rPr>
        <w:t>1</w:t>
      </w:r>
      <w:r>
        <w:t xml:space="preserve">  </w:t>
      </w:r>
      <w:r>
        <w:rPr>
          <w:rFonts w:hint="eastAsia" w:eastAsia="宋体"/>
          <w:color w:val="auto"/>
        </w:rPr>
        <w:t>对于分户隔墙的冲击试验，取成年男子平均体重（</w:t>
      </w:r>
      <w:r>
        <w:rPr>
          <w:rFonts w:eastAsia="宋体"/>
          <w:color w:val="auto"/>
        </w:rPr>
        <w:t>70kg</w:t>
      </w:r>
      <w:r>
        <w:rPr>
          <w:rFonts w:hint="eastAsia" w:eastAsia="宋体"/>
          <w:color w:val="auto"/>
        </w:rPr>
        <w:t>）作为冲击质量。同时考虑到现有轻质墙板的质量检验规范中多采用</w:t>
      </w:r>
      <w:r>
        <w:rPr>
          <w:rFonts w:eastAsia="宋体"/>
          <w:color w:val="auto"/>
        </w:rPr>
        <w:t>30kg</w:t>
      </w:r>
      <w:r>
        <w:rPr>
          <w:rFonts w:hint="eastAsia" w:eastAsia="宋体"/>
          <w:color w:val="auto"/>
        </w:rPr>
        <w:t>的冲击质量，因此对隔墙采用30kg的冲击质量进行试验。</w:t>
      </w:r>
    </w:p>
    <w:p>
      <w:r>
        <w:rPr>
          <w:rFonts w:hint="eastAsia"/>
          <w:b/>
        </w:rPr>
        <w:t>E.0.</w:t>
      </w:r>
      <w:r>
        <w:rPr>
          <w:b/>
        </w:rPr>
        <w:t>2</w:t>
      </w:r>
      <w:r>
        <w:rPr>
          <w:rFonts w:hint="eastAsia"/>
          <w:b/>
        </w:rPr>
        <w:t>-E.0.</w:t>
      </w:r>
      <w:r>
        <w:rPr>
          <w:b/>
        </w:rPr>
        <w:t>3</w:t>
      </w:r>
      <w:r>
        <w:t xml:space="preserve">  </w:t>
      </w:r>
      <w:r>
        <w:rPr>
          <w:rFonts w:hint="eastAsia"/>
        </w:rPr>
        <w:t>本条按现行国家标准《建筑幕墙》</w:t>
      </w:r>
      <w:r>
        <w:t>GB/T 21086</w:t>
      </w:r>
      <w:r>
        <w:rPr>
          <w:rFonts w:hint="eastAsia"/>
        </w:rPr>
        <w:t>的规定执行。</w:t>
      </w:r>
    </w:p>
    <w:p>
      <w:r>
        <w:rPr>
          <w:rFonts w:hint="eastAsia"/>
          <w:b/>
        </w:rPr>
        <w:t>E.0.</w:t>
      </w:r>
      <w:r>
        <w:rPr>
          <w:b/>
        </w:rPr>
        <w:t>4</w:t>
      </w:r>
      <w:r>
        <w:t xml:space="preserve">  </w:t>
      </w:r>
      <w:r>
        <w:rPr>
          <w:rFonts w:hint="eastAsia"/>
        </w:rPr>
        <w:t>距离楼板高度1.5m处是人体冲击较为常见的位置，当设计无具体要求时，可选取冲击点为墙板中心位置或楼板高度1.5m处。</w:t>
      </w:r>
    </w:p>
    <w:p>
      <w:r>
        <w:rPr>
          <w:rFonts w:hint="eastAsia"/>
          <w:b/>
        </w:rPr>
        <w:t>E.0.</w:t>
      </w:r>
      <w:r>
        <w:rPr>
          <w:b/>
        </w:rPr>
        <w:t>5</w:t>
      </w:r>
      <w:r>
        <w:t xml:space="preserve">  </w:t>
      </w:r>
      <w:r>
        <w:rPr>
          <w:rFonts w:hint="eastAsia"/>
        </w:rPr>
        <w:t>取</w:t>
      </w:r>
      <w:r>
        <w:t>成年男子</w:t>
      </w:r>
      <w:r>
        <w:rPr>
          <w:rFonts w:hint="eastAsia"/>
        </w:rPr>
        <w:t>正常</w:t>
      </w:r>
      <w:r>
        <w:t>跑步速度（</w:t>
      </w:r>
      <w:r>
        <w:rPr>
          <w:rFonts w:hint="eastAsia"/>
        </w:rPr>
        <w:t>10公里</w:t>
      </w:r>
      <w:r>
        <w:t>/</w:t>
      </w:r>
      <w:r>
        <w:rPr>
          <w:rFonts w:hint="eastAsia"/>
        </w:rPr>
        <w:t>小时</w:t>
      </w:r>
      <w:r>
        <w:t>≈3m/s）</w:t>
      </w:r>
      <w:r>
        <w:rPr>
          <w:rFonts w:hint="eastAsia"/>
        </w:rPr>
        <w:t>作为最大冲击</w:t>
      </w:r>
      <w:r>
        <w:t>速度</w:t>
      </w:r>
      <w:r>
        <w:rPr>
          <w:rFonts w:hint="eastAsia"/>
        </w:rPr>
        <w:t>，</w:t>
      </w:r>
      <w:r>
        <w:t>对应的最大下落高度为</w:t>
      </w:r>
      <w:r>
        <w:rPr>
          <w:rFonts w:hint="eastAsia"/>
        </w:rPr>
        <w:t>0.45</w:t>
      </w:r>
      <w:r>
        <w:t>m</w:t>
      </w:r>
      <w:r>
        <w:rPr>
          <w:rFonts w:hint="eastAsia"/>
        </w:rPr>
        <w:t>。</w:t>
      </w:r>
    </w:p>
    <w:p>
      <w:r>
        <w:rPr>
          <w:b/>
        </w:rPr>
        <w:t xml:space="preserve">E.0.7  </w:t>
      </w:r>
      <w:r>
        <w:rPr>
          <w:rFonts w:hint="eastAsia"/>
        </w:rPr>
        <w:t>试验中在冲击荷载作用下，隔墙出现毫米级的微小振动。根据累积残余变形绘出的墙体残余变形见图</w:t>
      </w:r>
      <w:r>
        <w:t>1</w:t>
      </w:r>
      <w:r>
        <w:rPr>
          <w:rFonts w:hint="eastAsia"/>
        </w:rPr>
        <w:t>。由图1可见，隔墙顶部在冲击作用下几乎没有残余变形，而墙板底部则存在一定的残余变形，这表明墙板顶部与梁底连接良好，而墙板底部与楼板连接位置是薄弱部位。上述问题初步分析为隔墙安装工艺所导致：墙板安装时，在墙板顶面及侧面均抹上备制好的粘结胶浆，然后由工人将墙板扶正就位，采用撬棒边撬边挤使得墙板就位，与梁底部及相邻已安装好的隔墙侧面粘结在一起。此时墙板下部与楼板存在一定空隙，采用水泥砂浆进行填充。水泥砂浆的粘结质量可能比粘结胶浆差，导致冲击荷载作用下墙板下部出现了一定的残余变形。</w:t>
      </w:r>
    </w:p>
    <w:p>
      <w:pPr>
        <w:ind w:firstLine="420" w:firstLineChars="200"/>
      </w:pPr>
      <w:r>
        <w:rPr>
          <w:rFonts w:hint="eastAsia"/>
        </w:rPr>
        <w:t>冲击荷载作用后，冲击点处未发现面板材料开裂、脱落现象。隔墙自身、受冲击隔墙与相邻墙板连接位置处、隔墙顶部与梁底部连接处均未发现裂缝。</w:t>
      </w:r>
    </w:p>
    <w:p>
      <w:pPr>
        <w:ind w:firstLine="420" w:firstLineChars="200"/>
      </w:pPr>
      <w:r>
        <w:rPr>
          <w:rFonts w:hint="eastAsia"/>
        </w:rPr>
        <w:t>在不影响墙体正常使用的前提下，可根据卸载后残余变形（不超过1mm）以及是否会产生可见墙面裂缝、</w:t>
      </w:r>
      <w:r>
        <w:t>连接裂缝</w:t>
      </w:r>
      <w:r>
        <w:rPr>
          <w:rFonts w:hint="eastAsia"/>
        </w:rPr>
        <w:t>等结果来综合评判墙板结构的防</w:t>
      </w:r>
      <w:r>
        <w:t>冲击</w:t>
      </w:r>
      <w:r>
        <w:rPr>
          <w:rFonts w:hint="eastAsia"/>
        </w:rPr>
        <w:t>效果，形成工程反馈。</w:t>
      </w:r>
    </w:p>
    <w:p>
      <w:pPr>
        <w:spacing w:line="240" w:lineRule="auto"/>
        <w:jc w:val="center"/>
      </w:pPr>
      <w:r>
        <w:drawing>
          <wp:inline distT="0" distB="0" distL="0" distR="0">
            <wp:extent cx="3004185" cy="2301240"/>
            <wp:effectExtent l="0" t="0" r="0" b="0"/>
            <wp:docPr id="11" name="图片 11" descr="累积参与位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累积参与位移"/>
                    <pic:cNvPicPr>
                      <a:picLocks noChangeAspect="1" noChangeArrowheads="1"/>
                    </pic:cNvPicPr>
                  </pic:nvPicPr>
                  <pic:blipFill>
                    <a:blip r:embed="rId20" cstate="print">
                      <a:extLst>
                        <a:ext uri="{28A0092B-C50C-407E-A947-70E740481C1C}">
                          <a14:useLocalDpi xmlns:a14="http://schemas.microsoft.com/office/drawing/2010/main" val="0"/>
                        </a:ext>
                      </a:extLst>
                    </a:blip>
                    <a:srcRect l="6926" t="8009" r="13176" b="4126"/>
                    <a:stretch>
                      <a:fillRect/>
                    </a:stretch>
                  </pic:blipFill>
                  <pic:spPr>
                    <a:xfrm>
                      <a:off x="0" y="0"/>
                      <a:ext cx="3004185" cy="2301240"/>
                    </a:xfrm>
                    <a:prstGeom prst="rect">
                      <a:avLst/>
                    </a:prstGeom>
                    <a:noFill/>
                    <a:ln>
                      <a:noFill/>
                    </a:ln>
                  </pic:spPr>
                </pic:pic>
              </a:graphicData>
            </a:graphic>
          </wp:inline>
        </w:drawing>
      </w:r>
    </w:p>
    <w:p>
      <w:pPr>
        <w:spacing w:line="240" w:lineRule="auto"/>
        <w:jc w:val="center"/>
        <w:rPr>
          <w:sz w:val="18"/>
          <w:szCs w:val="18"/>
        </w:rPr>
      </w:pPr>
      <w:r>
        <w:rPr>
          <w:rFonts w:hint="eastAsia"/>
          <w:sz w:val="18"/>
          <w:szCs w:val="18"/>
        </w:rPr>
        <w:t>图</w:t>
      </w:r>
      <w:r>
        <w:rPr>
          <w:sz w:val="18"/>
          <w:szCs w:val="18"/>
        </w:rPr>
        <w:t xml:space="preserve">1  </w:t>
      </w:r>
      <w:r>
        <w:rPr>
          <w:rFonts w:hint="eastAsia"/>
          <w:sz w:val="18"/>
          <w:szCs w:val="18"/>
        </w:rPr>
        <w:t>冲击试验后不同厚度隔墙残余变形</w:t>
      </w:r>
    </w:p>
    <w:p>
      <w:pPr>
        <w:spacing w:line="240" w:lineRule="auto"/>
        <w:jc w:val="center"/>
        <w:rPr>
          <w:sz w:val="18"/>
          <w:szCs w:val="18"/>
        </w:rPr>
        <w:sectPr>
          <w:pgSz w:w="7938" w:h="11510"/>
          <w:pgMar w:top="1083" w:right="1009" w:bottom="1083" w:left="1009" w:header="851" w:footer="992" w:gutter="0"/>
          <w:cols w:space="425" w:num="1"/>
          <w:docGrid w:type="lines" w:linePitch="312" w:charSpace="0"/>
        </w:sectPr>
      </w:pPr>
    </w:p>
    <w:p>
      <w:pPr>
        <w:pStyle w:val="2"/>
      </w:pPr>
      <w:bookmarkStart w:id="780" w:name="_Toc12868836"/>
      <w:bookmarkStart w:id="781" w:name="_Toc12958834"/>
      <w:bookmarkStart w:id="782" w:name="_Toc12959581"/>
      <w:bookmarkStart w:id="783" w:name="_Toc17273710"/>
      <w:r>
        <w:rPr>
          <w:rFonts w:hint="eastAsia"/>
        </w:rPr>
        <w:t>附录G</w:t>
      </w:r>
      <w:r>
        <w:t xml:space="preserve">  </w:t>
      </w:r>
      <w:r>
        <w:rPr>
          <w:rFonts w:hint="eastAsia"/>
        </w:rPr>
        <w:t>平行构件法</w:t>
      </w:r>
      <w:bookmarkEnd w:id="780"/>
      <w:bookmarkEnd w:id="781"/>
      <w:bookmarkEnd w:id="782"/>
      <w:bookmarkEnd w:id="783"/>
    </w:p>
    <w:p>
      <w:r>
        <w:rPr>
          <w:rFonts w:hint="eastAsia"/>
          <w:b/>
          <w:bCs/>
        </w:rPr>
        <w:t>G.0.1</w:t>
      </w:r>
      <w:r>
        <w:rPr>
          <w:b/>
          <w:bCs/>
        </w:rPr>
        <w:t xml:space="preserve">  </w:t>
      </w:r>
      <w:r>
        <w:rPr>
          <w:rFonts w:hint="eastAsia"/>
        </w:rPr>
        <w:t>本方法通过制作与实际构件同条件养护的平行构件，实现对灌浆套筒连接质量的验收，以及座浆及分仓的浇筑质量。平行构件内部安装套筒和插筋，铺设座浆层及灌注分仓层，在材料硬化后可对平行构件进行拆解，取出同条件养护的灌浆套筒平行试件进行力学性能试验，确定套筒灌浆连接质量，同时可检查座浆及分仓的浇筑质量。</w:t>
      </w:r>
    </w:p>
    <w:p>
      <w:pPr>
        <w:ind w:firstLine="420" w:firstLineChars="200"/>
      </w:pPr>
      <w:r>
        <w:rPr>
          <w:rFonts w:hint="eastAsia"/>
        </w:rPr>
        <w:t>平行构件法具有以下特点：</w:t>
      </w:r>
    </w:p>
    <w:p>
      <w:pPr>
        <w:ind w:firstLine="422" w:firstLineChars="200"/>
      </w:pPr>
      <w:r>
        <w:rPr>
          <w:rFonts w:hint="eastAsia"/>
          <w:b/>
          <w:bCs/>
        </w:rPr>
        <w:t>1</w:t>
      </w:r>
      <w:r>
        <w:t xml:space="preserve">  </w:t>
      </w:r>
      <w:r>
        <w:rPr>
          <w:rFonts w:hint="eastAsia"/>
        </w:rPr>
        <w:t>操作方法与实际工程的施工工艺、材料、灌浆设备及环境条件完全相同，能极大程度地反应现场施工工艺效果及发现可能出现的质量问题。</w:t>
      </w:r>
    </w:p>
    <w:p>
      <w:pPr>
        <w:ind w:firstLine="422" w:firstLineChars="200"/>
      </w:pPr>
      <w:r>
        <w:rPr>
          <w:rFonts w:hint="eastAsia"/>
          <w:b/>
          <w:bCs/>
        </w:rPr>
        <w:t>2</w:t>
      </w:r>
      <w:r>
        <w:t xml:space="preserve">  </w:t>
      </w:r>
      <w:r>
        <w:rPr>
          <w:rFonts w:hint="eastAsia"/>
        </w:rPr>
        <w:t>操作简单、效果直观，无需复杂工具便可实现检查目的，检查时将平行构件拆解分离，取出灌浆套筒试件进行灌浆密实度检验和力学性能试验，可同时检查分仓或座浆层浇筑质量。</w:t>
      </w:r>
    </w:p>
    <w:p>
      <w:pPr>
        <w:ind w:firstLine="422" w:firstLineChars="200"/>
      </w:pPr>
      <w:r>
        <w:rPr>
          <w:rFonts w:hint="eastAsia"/>
          <w:b/>
          <w:bCs/>
        </w:rPr>
        <w:t>3</w:t>
      </w:r>
      <w:r>
        <w:t xml:space="preserve">  </w:t>
      </w:r>
      <w:r>
        <w:rPr>
          <w:rFonts w:hint="eastAsia"/>
        </w:rPr>
        <w:t>价格低廉，材料可选择木板或大芯板，用钉子固定板块形成箱体。</w:t>
      </w:r>
    </w:p>
    <w:p>
      <w:pPr>
        <w:ind w:firstLine="422" w:firstLineChars="200"/>
      </w:pPr>
      <w:r>
        <w:rPr>
          <w:rFonts w:hint="eastAsia"/>
          <w:b/>
          <w:bCs/>
        </w:rPr>
        <w:t>4</w:t>
      </w:r>
      <w:r>
        <w:t xml:space="preserve">  </w:t>
      </w:r>
      <w:r>
        <w:rPr>
          <w:rFonts w:hint="eastAsia"/>
        </w:rPr>
        <w:t>灵活多变，封堵部分套筒固定孔和底板通孔，可实现单根、多根或指定位置灌浆套筒的质量检查。</w:t>
      </w:r>
    </w:p>
    <w:p>
      <w:r>
        <w:rPr>
          <w:rFonts w:hint="eastAsia"/>
          <w:b/>
          <w:bCs/>
        </w:rPr>
        <w:t>G.0.2</w:t>
      </w:r>
      <w:r>
        <w:rPr>
          <w:b/>
          <w:bCs/>
        </w:rPr>
        <w:t xml:space="preserve">  </w:t>
      </w:r>
      <w:r>
        <w:rPr>
          <w:rFonts w:hint="eastAsia"/>
        </w:rPr>
        <w:t>平行构件装置包括箱体、套筒、钢筋、底板和支撑架，上部钢筋和下部钢筋即模拟预制构件上的连接钢筋，箱体与底板之间设置垫块的目的，是使底板与箱体之间形成一个隔离层，便于设置座浆层或分仓层。</w:t>
      </w:r>
    </w:p>
    <w:p>
      <w:pPr>
        <w:rPr>
          <w:b/>
          <w:bCs/>
        </w:rPr>
      </w:pPr>
      <w:r>
        <w:rPr>
          <w:rFonts w:hint="eastAsia"/>
          <w:b/>
          <w:bCs/>
        </w:rPr>
        <w:t>G</w:t>
      </w:r>
      <w:r>
        <w:rPr>
          <w:b/>
          <w:bCs/>
        </w:rPr>
        <w:t>.0.3</w:t>
      </w:r>
      <w:r>
        <w:rPr>
          <w:rFonts w:hint="eastAsia"/>
          <w:b/>
          <w:bCs/>
        </w:rPr>
        <w:t>~G</w:t>
      </w:r>
      <w:r>
        <w:rPr>
          <w:b/>
          <w:bCs/>
        </w:rPr>
        <w:t xml:space="preserve">.0.4  </w:t>
      </w:r>
      <w:r>
        <w:rPr>
          <w:rFonts w:hint="eastAsia"/>
        </w:rPr>
        <w:t>使用平行构件法检查座浆或分仓浇筑质量，均是利用箱体底面与底板用垫块隔开的空间，浇筑座浆料或分仓密封材料，利用平行构件易拆卸的特点，检查座浆或分仓浇筑的质量。</w:t>
      </w:r>
    </w:p>
    <w:sectPr>
      <w:pgSz w:w="7938" w:h="11510"/>
      <w:pgMar w:top="1083" w:right="1009" w:bottom="1083" w:left="1009"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PAGE   \* MERGEFORMAT</w:instrText>
    </w:r>
    <w:r>
      <w:fldChar w:fldCharType="separate"/>
    </w:r>
    <w:r>
      <w:rPr>
        <w:lang w:val="zh-CN"/>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PAGE   \* MERGEFORMAT</w:instrText>
    </w:r>
    <w:r>
      <w:fldChar w:fldCharType="separate"/>
    </w:r>
    <w:r>
      <w:rPr>
        <w:lang w:val="zh-CN"/>
      </w:rP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PAGE   \* MERGEFORMAT</w:instrText>
    </w:r>
    <w:r>
      <w:fldChar w:fldCharType="separate"/>
    </w:r>
    <w:r>
      <w:rPr>
        <w:lang w:val="zh-CN"/>
      </w:rPr>
      <w:t>39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sFormartTempId" w:val="1"/>
  </w:docVars>
  <w:rsids>
    <w:rsidRoot w:val="00177F9C"/>
    <w:rsid w:val="0000032D"/>
    <w:rsid w:val="000014A8"/>
    <w:rsid w:val="00001F99"/>
    <w:rsid w:val="0000291F"/>
    <w:rsid w:val="00002A5F"/>
    <w:rsid w:val="00004028"/>
    <w:rsid w:val="000044F5"/>
    <w:rsid w:val="000048A7"/>
    <w:rsid w:val="00004CF4"/>
    <w:rsid w:val="000054D5"/>
    <w:rsid w:val="00005ADA"/>
    <w:rsid w:val="0000649B"/>
    <w:rsid w:val="0000681D"/>
    <w:rsid w:val="00006DC4"/>
    <w:rsid w:val="00006E2A"/>
    <w:rsid w:val="0000749F"/>
    <w:rsid w:val="00007BCC"/>
    <w:rsid w:val="00007FE0"/>
    <w:rsid w:val="00010089"/>
    <w:rsid w:val="0001193A"/>
    <w:rsid w:val="000121E1"/>
    <w:rsid w:val="00012446"/>
    <w:rsid w:val="000131D0"/>
    <w:rsid w:val="0001466E"/>
    <w:rsid w:val="00014724"/>
    <w:rsid w:val="00015502"/>
    <w:rsid w:val="000155C2"/>
    <w:rsid w:val="00016189"/>
    <w:rsid w:val="00016247"/>
    <w:rsid w:val="00016DF8"/>
    <w:rsid w:val="000172C8"/>
    <w:rsid w:val="000176BB"/>
    <w:rsid w:val="00020C35"/>
    <w:rsid w:val="00021D83"/>
    <w:rsid w:val="00021F8F"/>
    <w:rsid w:val="00022D71"/>
    <w:rsid w:val="000233C6"/>
    <w:rsid w:val="000237C4"/>
    <w:rsid w:val="00023F71"/>
    <w:rsid w:val="0002423D"/>
    <w:rsid w:val="000246DD"/>
    <w:rsid w:val="00024945"/>
    <w:rsid w:val="00025794"/>
    <w:rsid w:val="00025E25"/>
    <w:rsid w:val="00025E2A"/>
    <w:rsid w:val="00025EA7"/>
    <w:rsid w:val="00026048"/>
    <w:rsid w:val="0002630F"/>
    <w:rsid w:val="00026BE1"/>
    <w:rsid w:val="00026E7F"/>
    <w:rsid w:val="00027546"/>
    <w:rsid w:val="00027614"/>
    <w:rsid w:val="00030F9E"/>
    <w:rsid w:val="000315CF"/>
    <w:rsid w:val="000318AF"/>
    <w:rsid w:val="00033599"/>
    <w:rsid w:val="000336E6"/>
    <w:rsid w:val="00035189"/>
    <w:rsid w:val="00036116"/>
    <w:rsid w:val="00036F8D"/>
    <w:rsid w:val="00037049"/>
    <w:rsid w:val="00037B86"/>
    <w:rsid w:val="00040143"/>
    <w:rsid w:val="00040227"/>
    <w:rsid w:val="000402C0"/>
    <w:rsid w:val="0004088B"/>
    <w:rsid w:val="00040E90"/>
    <w:rsid w:val="00041188"/>
    <w:rsid w:val="00041463"/>
    <w:rsid w:val="000418C7"/>
    <w:rsid w:val="00042582"/>
    <w:rsid w:val="00042C28"/>
    <w:rsid w:val="00042DB5"/>
    <w:rsid w:val="00043C20"/>
    <w:rsid w:val="000441C9"/>
    <w:rsid w:val="00044C1B"/>
    <w:rsid w:val="0004515B"/>
    <w:rsid w:val="000462AC"/>
    <w:rsid w:val="000467F2"/>
    <w:rsid w:val="00051B60"/>
    <w:rsid w:val="00051BA5"/>
    <w:rsid w:val="00051CAF"/>
    <w:rsid w:val="00051EA3"/>
    <w:rsid w:val="0005226D"/>
    <w:rsid w:val="000528FB"/>
    <w:rsid w:val="000531DF"/>
    <w:rsid w:val="0005330C"/>
    <w:rsid w:val="0005374A"/>
    <w:rsid w:val="0005395C"/>
    <w:rsid w:val="0005404A"/>
    <w:rsid w:val="000546F4"/>
    <w:rsid w:val="00054BE3"/>
    <w:rsid w:val="0005586C"/>
    <w:rsid w:val="00055871"/>
    <w:rsid w:val="00056ED3"/>
    <w:rsid w:val="000601F7"/>
    <w:rsid w:val="00060274"/>
    <w:rsid w:val="00060681"/>
    <w:rsid w:val="000607BE"/>
    <w:rsid w:val="00060DE8"/>
    <w:rsid w:val="000623A3"/>
    <w:rsid w:val="00062B4B"/>
    <w:rsid w:val="000640A9"/>
    <w:rsid w:val="00065327"/>
    <w:rsid w:val="00065ED4"/>
    <w:rsid w:val="00072794"/>
    <w:rsid w:val="000727FF"/>
    <w:rsid w:val="00072912"/>
    <w:rsid w:val="00072A31"/>
    <w:rsid w:val="000731D0"/>
    <w:rsid w:val="0007331F"/>
    <w:rsid w:val="000736D3"/>
    <w:rsid w:val="00073BFC"/>
    <w:rsid w:val="000748BF"/>
    <w:rsid w:val="00075070"/>
    <w:rsid w:val="00075220"/>
    <w:rsid w:val="0007527A"/>
    <w:rsid w:val="00075CE7"/>
    <w:rsid w:val="00075ED9"/>
    <w:rsid w:val="0007664A"/>
    <w:rsid w:val="00077284"/>
    <w:rsid w:val="0008085A"/>
    <w:rsid w:val="00080EFE"/>
    <w:rsid w:val="00081206"/>
    <w:rsid w:val="0008148D"/>
    <w:rsid w:val="00081B66"/>
    <w:rsid w:val="00081DC8"/>
    <w:rsid w:val="0008224E"/>
    <w:rsid w:val="0008229C"/>
    <w:rsid w:val="000825B0"/>
    <w:rsid w:val="0008454E"/>
    <w:rsid w:val="00084997"/>
    <w:rsid w:val="00085101"/>
    <w:rsid w:val="00085199"/>
    <w:rsid w:val="00087503"/>
    <w:rsid w:val="0008775C"/>
    <w:rsid w:val="00090136"/>
    <w:rsid w:val="0009079E"/>
    <w:rsid w:val="00091C81"/>
    <w:rsid w:val="00092420"/>
    <w:rsid w:val="00093D54"/>
    <w:rsid w:val="000940B3"/>
    <w:rsid w:val="000940F1"/>
    <w:rsid w:val="00094A1A"/>
    <w:rsid w:val="00094A2C"/>
    <w:rsid w:val="00095B08"/>
    <w:rsid w:val="00095CB7"/>
    <w:rsid w:val="00096D24"/>
    <w:rsid w:val="00097724"/>
    <w:rsid w:val="00097A31"/>
    <w:rsid w:val="000A1111"/>
    <w:rsid w:val="000A1DE0"/>
    <w:rsid w:val="000A27A6"/>
    <w:rsid w:val="000A2823"/>
    <w:rsid w:val="000A2A35"/>
    <w:rsid w:val="000A339A"/>
    <w:rsid w:val="000A398F"/>
    <w:rsid w:val="000A43CF"/>
    <w:rsid w:val="000A48EE"/>
    <w:rsid w:val="000A54FE"/>
    <w:rsid w:val="000A6082"/>
    <w:rsid w:val="000A6DE2"/>
    <w:rsid w:val="000A72C4"/>
    <w:rsid w:val="000A7574"/>
    <w:rsid w:val="000A765F"/>
    <w:rsid w:val="000A7BF4"/>
    <w:rsid w:val="000A7F4E"/>
    <w:rsid w:val="000B0860"/>
    <w:rsid w:val="000B3170"/>
    <w:rsid w:val="000B36A3"/>
    <w:rsid w:val="000B3DB2"/>
    <w:rsid w:val="000B3F7A"/>
    <w:rsid w:val="000B4154"/>
    <w:rsid w:val="000B49A6"/>
    <w:rsid w:val="000B4A9E"/>
    <w:rsid w:val="000B67CA"/>
    <w:rsid w:val="000B703B"/>
    <w:rsid w:val="000C00E7"/>
    <w:rsid w:val="000C0DFC"/>
    <w:rsid w:val="000C1336"/>
    <w:rsid w:val="000C1F7A"/>
    <w:rsid w:val="000C210A"/>
    <w:rsid w:val="000C24BD"/>
    <w:rsid w:val="000C357E"/>
    <w:rsid w:val="000C43AF"/>
    <w:rsid w:val="000C527B"/>
    <w:rsid w:val="000C5735"/>
    <w:rsid w:val="000C5981"/>
    <w:rsid w:val="000C5A01"/>
    <w:rsid w:val="000C5E4E"/>
    <w:rsid w:val="000C5F0E"/>
    <w:rsid w:val="000C61CE"/>
    <w:rsid w:val="000C6445"/>
    <w:rsid w:val="000C7FD0"/>
    <w:rsid w:val="000D05E7"/>
    <w:rsid w:val="000D0C42"/>
    <w:rsid w:val="000D1EDC"/>
    <w:rsid w:val="000D20EC"/>
    <w:rsid w:val="000D2219"/>
    <w:rsid w:val="000D2483"/>
    <w:rsid w:val="000D3039"/>
    <w:rsid w:val="000D436F"/>
    <w:rsid w:val="000D4CE8"/>
    <w:rsid w:val="000D538A"/>
    <w:rsid w:val="000D599F"/>
    <w:rsid w:val="000D6194"/>
    <w:rsid w:val="000D672A"/>
    <w:rsid w:val="000D73F6"/>
    <w:rsid w:val="000D750E"/>
    <w:rsid w:val="000D760E"/>
    <w:rsid w:val="000D7F6D"/>
    <w:rsid w:val="000E2584"/>
    <w:rsid w:val="000E3843"/>
    <w:rsid w:val="000E3F93"/>
    <w:rsid w:val="000E464E"/>
    <w:rsid w:val="000E48C2"/>
    <w:rsid w:val="000E4CD3"/>
    <w:rsid w:val="000E52A6"/>
    <w:rsid w:val="000E55DB"/>
    <w:rsid w:val="000E602F"/>
    <w:rsid w:val="000E62CF"/>
    <w:rsid w:val="000E6EAB"/>
    <w:rsid w:val="000F0D93"/>
    <w:rsid w:val="000F2028"/>
    <w:rsid w:val="000F29AB"/>
    <w:rsid w:val="000F3015"/>
    <w:rsid w:val="000F3ED6"/>
    <w:rsid w:val="000F3F6B"/>
    <w:rsid w:val="000F4796"/>
    <w:rsid w:val="000F4F4D"/>
    <w:rsid w:val="000F6AAE"/>
    <w:rsid w:val="000F70AC"/>
    <w:rsid w:val="000F7D39"/>
    <w:rsid w:val="00101348"/>
    <w:rsid w:val="0010166A"/>
    <w:rsid w:val="001018F9"/>
    <w:rsid w:val="00101EB2"/>
    <w:rsid w:val="0010203E"/>
    <w:rsid w:val="0010263F"/>
    <w:rsid w:val="001028B1"/>
    <w:rsid w:val="00103257"/>
    <w:rsid w:val="00103920"/>
    <w:rsid w:val="00103EF6"/>
    <w:rsid w:val="001047B6"/>
    <w:rsid w:val="001047F2"/>
    <w:rsid w:val="0010564E"/>
    <w:rsid w:val="001077E7"/>
    <w:rsid w:val="00110476"/>
    <w:rsid w:val="00110E57"/>
    <w:rsid w:val="00110FF2"/>
    <w:rsid w:val="001119CE"/>
    <w:rsid w:val="00112022"/>
    <w:rsid w:val="001121FC"/>
    <w:rsid w:val="00112D9D"/>
    <w:rsid w:val="00112E3E"/>
    <w:rsid w:val="00113014"/>
    <w:rsid w:val="00113403"/>
    <w:rsid w:val="00113D7C"/>
    <w:rsid w:val="00114155"/>
    <w:rsid w:val="0011422D"/>
    <w:rsid w:val="00114279"/>
    <w:rsid w:val="001145BB"/>
    <w:rsid w:val="00114738"/>
    <w:rsid w:val="0011561C"/>
    <w:rsid w:val="001158A7"/>
    <w:rsid w:val="0012235A"/>
    <w:rsid w:val="0012239E"/>
    <w:rsid w:val="001231C6"/>
    <w:rsid w:val="00123C0E"/>
    <w:rsid w:val="001250C8"/>
    <w:rsid w:val="00125E2B"/>
    <w:rsid w:val="00126AC6"/>
    <w:rsid w:val="001271A3"/>
    <w:rsid w:val="00127467"/>
    <w:rsid w:val="001275BA"/>
    <w:rsid w:val="00127B28"/>
    <w:rsid w:val="00127FC5"/>
    <w:rsid w:val="001300BB"/>
    <w:rsid w:val="001301B5"/>
    <w:rsid w:val="00131B7E"/>
    <w:rsid w:val="00131BA2"/>
    <w:rsid w:val="001326EB"/>
    <w:rsid w:val="00132774"/>
    <w:rsid w:val="00132ABE"/>
    <w:rsid w:val="00133271"/>
    <w:rsid w:val="001336A4"/>
    <w:rsid w:val="00133C1F"/>
    <w:rsid w:val="00133D11"/>
    <w:rsid w:val="00133ED5"/>
    <w:rsid w:val="00134AA8"/>
    <w:rsid w:val="00134D8C"/>
    <w:rsid w:val="00134D90"/>
    <w:rsid w:val="001353F5"/>
    <w:rsid w:val="00135996"/>
    <w:rsid w:val="00136161"/>
    <w:rsid w:val="00137021"/>
    <w:rsid w:val="00137892"/>
    <w:rsid w:val="00137928"/>
    <w:rsid w:val="00137D33"/>
    <w:rsid w:val="00137DF6"/>
    <w:rsid w:val="00137E7B"/>
    <w:rsid w:val="00141266"/>
    <w:rsid w:val="0014255C"/>
    <w:rsid w:val="00142834"/>
    <w:rsid w:val="00143008"/>
    <w:rsid w:val="00143463"/>
    <w:rsid w:val="0014439D"/>
    <w:rsid w:val="00144CB6"/>
    <w:rsid w:val="00145EE5"/>
    <w:rsid w:val="00146CA3"/>
    <w:rsid w:val="001472BA"/>
    <w:rsid w:val="00147C7A"/>
    <w:rsid w:val="00151BD7"/>
    <w:rsid w:val="001520C9"/>
    <w:rsid w:val="001522E3"/>
    <w:rsid w:val="00153C2F"/>
    <w:rsid w:val="00153C74"/>
    <w:rsid w:val="00155676"/>
    <w:rsid w:val="00155C85"/>
    <w:rsid w:val="001560A7"/>
    <w:rsid w:val="00156A10"/>
    <w:rsid w:val="0015713E"/>
    <w:rsid w:val="001577B4"/>
    <w:rsid w:val="001607F0"/>
    <w:rsid w:val="001607FD"/>
    <w:rsid w:val="00161913"/>
    <w:rsid w:val="00161C0A"/>
    <w:rsid w:val="00161F61"/>
    <w:rsid w:val="00162448"/>
    <w:rsid w:val="00164745"/>
    <w:rsid w:val="00164A11"/>
    <w:rsid w:val="00164A60"/>
    <w:rsid w:val="00164EF5"/>
    <w:rsid w:val="001655DF"/>
    <w:rsid w:val="00165DE7"/>
    <w:rsid w:val="00166D5D"/>
    <w:rsid w:val="00166FE1"/>
    <w:rsid w:val="001671CE"/>
    <w:rsid w:val="00170247"/>
    <w:rsid w:val="00171171"/>
    <w:rsid w:val="00171600"/>
    <w:rsid w:val="00171C1D"/>
    <w:rsid w:val="00174361"/>
    <w:rsid w:val="001743D1"/>
    <w:rsid w:val="0017478A"/>
    <w:rsid w:val="00174F90"/>
    <w:rsid w:val="001754F2"/>
    <w:rsid w:val="00175948"/>
    <w:rsid w:val="0017626C"/>
    <w:rsid w:val="001779E0"/>
    <w:rsid w:val="00177F9C"/>
    <w:rsid w:val="00180649"/>
    <w:rsid w:val="00180988"/>
    <w:rsid w:val="00180ABF"/>
    <w:rsid w:val="0018189D"/>
    <w:rsid w:val="001821D3"/>
    <w:rsid w:val="00182575"/>
    <w:rsid w:val="00184873"/>
    <w:rsid w:val="00184C2B"/>
    <w:rsid w:val="00184DD9"/>
    <w:rsid w:val="001852B8"/>
    <w:rsid w:val="00185CBD"/>
    <w:rsid w:val="00185F93"/>
    <w:rsid w:val="0018626F"/>
    <w:rsid w:val="00186282"/>
    <w:rsid w:val="001864C2"/>
    <w:rsid w:val="00186619"/>
    <w:rsid w:val="00186810"/>
    <w:rsid w:val="0019042B"/>
    <w:rsid w:val="0019068A"/>
    <w:rsid w:val="0019141C"/>
    <w:rsid w:val="00191FA8"/>
    <w:rsid w:val="0019230D"/>
    <w:rsid w:val="00193290"/>
    <w:rsid w:val="00193A0D"/>
    <w:rsid w:val="00194711"/>
    <w:rsid w:val="00194E5C"/>
    <w:rsid w:val="00195505"/>
    <w:rsid w:val="001961A5"/>
    <w:rsid w:val="00196326"/>
    <w:rsid w:val="001969CA"/>
    <w:rsid w:val="00197176"/>
    <w:rsid w:val="001A16C8"/>
    <w:rsid w:val="001A1B65"/>
    <w:rsid w:val="001A1B87"/>
    <w:rsid w:val="001A2329"/>
    <w:rsid w:val="001A2672"/>
    <w:rsid w:val="001A2D1F"/>
    <w:rsid w:val="001A3676"/>
    <w:rsid w:val="001A3FC4"/>
    <w:rsid w:val="001A4057"/>
    <w:rsid w:val="001A45D2"/>
    <w:rsid w:val="001A48C4"/>
    <w:rsid w:val="001A48D6"/>
    <w:rsid w:val="001A4EA3"/>
    <w:rsid w:val="001A5645"/>
    <w:rsid w:val="001A5CDE"/>
    <w:rsid w:val="001A64FD"/>
    <w:rsid w:val="001A6635"/>
    <w:rsid w:val="001A6C92"/>
    <w:rsid w:val="001A7907"/>
    <w:rsid w:val="001A7F75"/>
    <w:rsid w:val="001B02FB"/>
    <w:rsid w:val="001B048A"/>
    <w:rsid w:val="001B11C7"/>
    <w:rsid w:val="001B1273"/>
    <w:rsid w:val="001B1549"/>
    <w:rsid w:val="001B1F6C"/>
    <w:rsid w:val="001B23A6"/>
    <w:rsid w:val="001B23FF"/>
    <w:rsid w:val="001B3070"/>
    <w:rsid w:val="001B38C0"/>
    <w:rsid w:val="001B3D04"/>
    <w:rsid w:val="001B4307"/>
    <w:rsid w:val="001B4CC5"/>
    <w:rsid w:val="001B4F73"/>
    <w:rsid w:val="001B5D03"/>
    <w:rsid w:val="001B5E1B"/>
    <w:rsid w:val="001B62A5"/>
    <w:rsid w:val="001B6460"/>
    <w:rsid w:val="001B6BED"/>
    <w:rsid w:val="001B74A4"/>
    <w:rsid w:val="001B797C"/>
    <w:rsid w:val="001B7E05"/>
    <w:rsid w:val="001C0D87"/>
    <w:rsid w:val="001C14EE"/>
    <w:rsid w:val="001C2401"/>
    <w:rsid w:val="001C2926"/>
    <w:rsid w:val="001C39CC"/>
    <w:rsid w:val="001C3D11"/>
    <w:rsid w:val="001C4349"/>
    <w:rsid w:val="001C5A16"/>
    <w:rsid w:val="001C5AB8"/>
    <w:rsid w:val="001C5B49"/>
    <w:rsid w:val="001D00BC"/>
    <w:rsid w:val="001D0447"/>
    <w:rsid w:val="001D0EBA"/>
    <w:rsid w:val="001D19E0"/>
    <w:rsid w:val="001D2694"/>
    <w:rsid w:val="001D26BF"/>
    <w:rsid w:val="001D2797"/>
    <w:rsid w:val="001D2F03"/>
    <w:rsid w:val="001D30E1"/>
    <w:rsid w:val="001D3B3D"/>
    <w:rsid w:val="001D4161"/>
    <w:rsid w:val="001D465F"/>
    <w:rsid w:val="001D5D49"/>
    <w:rsid w:val="001D667D"/>
    <w:rsid w:val="001D6ACE"/>
    <w:rsid w:val="001D6EBE"/>
    <w:rsid w:val="001D752D"/>
    <w:rsid w:val="001D775B"/>
    <w:rsid w:val="001D7D46"/>
    <w:rsid w:val="001D7D62"/>
    <w:rsid w:val="001E1ABB"/>
    <w:rsid w:val="001E2864"/>
    <w:rsid w:val="001E2B90"/>
    <w:rsid w:val="001E30C5"/>
    <w:rsid w:val="001E33F8"/>
    <w:rsid w:val="001E3A44"/>
    <w:rsid w:val="001E43AD"/>
    <w:rsid w:val="001E4737"/>
    <w:rsid w:val="001E5496"/>
    <w:rsid w:val="001E713B"/>
    <w:rsid w:val="001E741D"/>
    <w:rsid w:val="001E76CB"/>
    <w:rsid w:val="001E78B4"/>
    <w:rsid w:val="001E79BB"/>
    <w:rsid w:val="001F0557"/>
    <w:rsid w:val="001F1A02"/>
    <w:rsid w:val="001F2527"/>
    <w:rsid w:val="001F3404"/>
    <w:rsid w:val="001F3671"/>
    <w:rsid w:val="001F38F9"/>
    <w:rsid w:val="001F3A2A"/>
    <w:rsid w:val="001F3EE6"/>
    <w:rsid w:val="001F3FD5"/>
    <w:rsid w:val="001F4170"/>
    <w:rsid w:val="001F6420"/>
    <w:rsid w:val="001F729F"/>
    <w:rsid w:val="001F7458"/>
    <w:rsid w:val="001F7DB9"/>
    <w:rsid w:val="0020002D"/>
    <w:rsid w:val="00200B9F"/>
    <w:rsid w:val="00200FA4"/>
    <w:rsid w:val="00201E3B"/>
    <w:rsid w:val="00202160"/>
    <w:rsid w:val="0020216E"/>
    <w:rsid w:val="002028A5"/>
    <w:rsid w:val="00202E16"/>
    <w:rsid w:val="00202E2C"/>
    <w:rsid w:val="002030CB"/>
    <w:rsid w:val="002037A7"/>
    <w:rsid w:val="002053DC"/>
    <w:rsid w:val="00205E9F"/>
    <w:rsid w:val="00206229"/>
    <w:rsid w:val="00206587"/>
    <w:rsid w:val="00206A67"/>
    <w:rsid w:val="002074AC"/>
    <w:rsid w:val="00207B3D"/>
    <w:rsid w:val="00210358"/>
    <w:rsid w:val="00210724"/>
    <w:rsid w:val="00210C57"/>
    <w:rsid w:val="00211377"/>
    <w:rsid w:val="002116C6"/>
    <w:rsid w:val="00212474"/>
    <w:rsid w:val="002127F0"/>
    <w:rsid w:val="00213BA4"/>
    <w:rsid w:val="00214418"/>
    <w:rsid w:val="00214840"/>
    <w:rsid w:val="00214CE2"/>
    <w:rsid w:val="00214FB6"/>
    <w:rsid w:val="00215D18"/>
    <w:rsid w:val="00215E79"/>
    <w:rsid w:val="0021748C"/>
    <w:rsid w:val="002178F6"/>
    <w:rsid w:val="00217A20"/>
    <w:rsid w:val="0022030B"/>
    <w:rsid w:val="00220D87"/>
    <w:rsid w:val="0022103D"/>
    <w:rsid w:val="00221BFC"/>
    <w:rsid w:val="00221FDA"/>
    <w:rsid w:val="00223C4C"/>
    <w:rsid w:val="002248A3"/>
    <w:rsid w:val="0022571D"/>
    <w:rsid w:val="0022674C"/>
    <w:rsid w:val="00226DE1"/>
    <w:rsid w:val="00227286"/>
    <w:rsid w:val="0022743A"/>
    <w:rsid w:val="00227756"/>
    <w:rsid w:val="00227C8B"/>
    <w:rsid w:val="002300C3"/>
    <w:rsid w:val="0023018A"/>
    <w:rsid w:val="00230CAC"/>
    <w:rsid w:val="0023130F"/>
    <w:rsid w:val="00231EE2"/>
    <w:rsid w:val="002321C0"/>
    <w:rsid w:val="00233271"/>
    <w:rsid w:val="002335F8"/>
    <w:rsid w:val="00233688"/>
    <w:rsid w:val="00233C67"/>
    <w:rsid w:val="00233E38"/>
    <w:rsid w:val="0023470D"/>
    <w:rsid w:val="002361A6"/>
    <w:rsid w:val="002368B2"/>
    <w:rsid w:val="00237992"/>
    <w:rsid w:val="00237EF7"/>
    <w:rsid w:val="002404E2"/>
    <w:rsid w:val="00240EFD"/>
    <w:rsid w:val="002410DE"/>
    <w:rsid w:val="00242310"/>
    <w:rsid w:val="002423D8"/>
    <w:rsid w:val="002428D0"/>
    <w:rsid w:val="00242B1D"/>
    <w:rsid w:val="002431E5"/>
    <w:rsid w:val="00243936"/>
    <w:rsid w:val="002440A3"/>
    <w:rsid w:val="00244E3B"/>
    <w:rsid w:val="002454A5"/>
    <w:rsid w:val="00245B80"/>
    <w:rsid w:val="0024699B"/>
    <w:rsid w:val="00247EDF"/>
    <w:rsid w:val="002510C7"/>
    <w:rsid w:val="00251411"/>
    <w:rsid w:val="0025223A"/>
    <w:rsid w:val="002528DB"/>
    <w:rsid w:val="0025309F"/>
    <w:rsid w:val="002537B0"/>
    <w:rsid w:val="00253C0E"/>
    <w:rsid w:val="00254133"/>
    <w:rsid w:val="00255277"/>
    <w:rsid w:val="002555CB"/>
    <w:rsid w:val="00255B80"/>
    <w:rsid w:val="002566A1"/>
    <w:rsid w:val="00256A79"/>
    <w:rsid w:val="00256C55"/>
    <w:rsid w:val="00257F59"/>
    <w:rsid w:val="002614C1"/>
    <w:rsid w:val="00261972"/>
    <w:rsid w:val="00261C1D"/>
    <w:rsid w:val="00261E8B"/>
    <w:rsid w:val="00262094"/>
    <w:rsid w:val="00262526"/>
    <w:rsid w:val="00262E49"/>
    <w:rsid w:val="00262EF8"/>
    <w:rsid w:val="00263289"/>
    <w:rsid w:val="00263371"/>
    <w:rsid w:val="0026352C"/>
    <w:rsid w:val="00263562"/>
    <w:rsid w:val="002637DB"/>
    <w:rsid w:val="00263A6C"/>
    <w:rsid w:val="00263F8B"/>
    <w:rsid w:val="002666A9"/>
    <w:rsid w:val="00267299"/>
    <w:rsid w:val="00267A9F"/>
    <w:rsid w:val="0027020A"/>
    <w:rsid w:val="00270287"/>
    <w:rsid w:val="00270621"/>
    <w:rsid w:val="00270738"/>
    <w:rsid w:val="002715E6"/>
    <w:rsid w:val="002723A9"/>
    <w:rsid w:val="00272A12"/>
    <w:rsid w:val="00272CC4"/>
    <w:rsid w:val="00273546"/>
    <w:rsid w:val="00273DDF"/>
    <w:rsid w:val="0027445C"/>
    <w:rsid w:val="00275218"/>
    <w:rsid w:val="0027568C"/>
    <w:rsid w:val="0027579E"/>
    <w:rsid w:val="00275EC3"/>
    <w:rsid w:val="00276067"/>
    <w:rsid w:val="00276E2D"/>
    <w:rsid w:val="00276F56"/>
    <w:rsid w:val="002772F7"/>
    <w:rsid w:val="002774D7"/>
    <w:rsid w:val="00277B09"/>
    <w:rsid w:val="002809B8"/>
    <w:rsid w:val="002813AF"/>
    <w:rsid w:val="00281ED9"/>
    <w:rsid w:val="00282180"/>
    <w:rsid w:val="00282ABD"/>
    <w:rsid w:val="00282F59"/>
    <w:rsid w:val="00283FC0"/>
    <w:rsid w:val="0028476F"/>
    <w:rsid w:val="002855DC"/>
    <w:rsid w:val="00285944"/>
    <w:rsid w:val="002870D1"/>
    <w:rsid w:val="002873B9"/>
    <w:rsid w:val="002907D4"/>
    <w:rsid w:val="00291784"/>
    <w:rsid w:val="002917F5"/>
    <w:rsid w:val="00291D80"/>
    <w:rsid w:val="00291DC8"/>
    <w:rsid w:val="002920EE"/>
    <w:rsid w:val="0029246D"/>
    <w:rsid w:val="00292AC9"/>
    <w:rsid w:val="002938FC"/>
    <w:rsid w:val="00293917"/>
    <w:rsid w:val="0029467A"/>
    <w:rsid w:val="002948B1"/>
    <w:rsid w:val="00294EBB"/>
    <w:rsid w:val="002955B7"/>
    <w:rsid w:val="002956C4"/>
    <w:rsid w:val="00296802"/>
    <w:rsid w:val="002975F5"/>
    <w:rsid w:val="00297C06"/>
    <w:rsid w:val="00297CEA"/>
    <w:rsid w:val="002A036E"/>
    <w:rsid w:val="002A0C34"/>
    <w:rsid w:val="002A136C"/>
    <w:rsid w:val="002A1584"/>
    <w:rsid w:val="002A1B2D"/>
    <w:rsid w:val="002A1C2F"/>
    <w:rsid w:val="002A1C69"/>
    <w:rsid w:val="002A29B7"/>
    <w:rsid w:val="002A2D05"/>
    <w:rsid w:val="002A39A2"/>
    <w:rsid w:val="002A3BBF"/>
    <w:rsid w:val="002A3CD4"/>
    <w:rsid w:val="002A3F28"/>
    <w:rsid w:val="002A447F"/>
    <w:rsid w:val="002A629D"/>
    <w:rsid w:val="002A6458"/>
    <w:rsid w:val="002A737A"/>
    <w:rsid w:val="002A7A2B"/>
    <w:rsid w:val="002A7EA0"/>
    <w:rsid w:val="002B1FC8"/>
    <w:rsid w:val="002B20CD"/>
    <w:rsid w:val="002B2629"/>
    <w:rsid w:val="002B2FD3"/>
    <w:rsid w:val="002B31F3"/>
    <w:rsid w:val="002B3A50"/>
    <w:rsid w:val="002B3B1F"/>
    <w:rsid w:val="002B4F35"/>
    <w:rsid w:val="002B523C"/>
    <w:rsid w:val="002B547E"/>
    <w:rsid w:val="002B55FE"/>
    <w:rsid w:val="002B561B"/>
    <w:rsid w:val="002B6646"/>
    <w:rsid w:val="002B6653"/>
    <w:rsid w:val="002B6674"/>
    <w:rsid w:val="002B6AA0"/>
    <w:rsid w:val="002B7441"/>
    <w:rsid w:val="002C1527"/>
    <w:rsid w:val="002C1D31"/>
    <w:rsid w:val="002C2203"/>
    <w:rsid w:val="002C23E1"/>
    <w:rsid w:val="002C24D4"/>
    <w:rsid w:val="002C2B71"/>
    <w:rsid w:val="002C2F15"/>
    <w:rsid w:val="002C3B45"/>
    <w:rsid w:val="002C3DDF"/>
    <w:rsid w:val="002C4063"/>
    <w:rsid w:val="002C4709"/>
    <w:rsid w:val="002C49C1"/>
    <w:rsid w:val="002C53B5"/>
    <w:rsid w:val="002C61E9"/>
    <w:rsid w:val="002C6861"/>
    <w:rsid w:val="002C73CC"/>
    <w:rsid w:val="002C77C0"/>
    <w:rsid w:val="002C7CF1"/>
    <w:rsid w:val="002D01A0"/>
    <w:rsid w:val="002D0344"/>
    <w:rsid w:val="002D1CB5"/>
    <w:rsid w:val="002D1E0B"/>
    <w:rsid w:val="002D3275"/>
    <w:rsid w:val="002D3C03"/>
    <w:rsid w:val="002D4B03"/>
    <w:rsid w:val="002D56CD"/>
    <w:rsid w:val="002D5739"/>
    <w:rsid w:val="002D5B3B"/>
    <w:rsid w:val="002D6502"/>
    <w:rsid w:val="002D6533"/>
    <w:rsid w:val="002D7239"/>
    <w:rsid w:val="002D7524"/>
    <w:rsid w:val="002E0404"/>
    <w:rsid w:val="002E0900"/>
    <w:rsid w:val="002E0C56"/>
    <w:rsid w:val="002E0E42"/>
    <w:rsid w:val="002E344B"/>
    <w:rsid w:val="002E4484"/>
    <w:rsid w:val="002E4690"/>
    <w:rsid w:val="002E48E3"/>
    <w:rsid w:val="002E5999"/>
    <w:rsid w:val="002E5BC3"/>
    <w:rsid w:val="002E6DA7"/>
    <w:rsid w:val="002E6EF6"/>
    <w:rsid w:val="002E70CF"/>
    <w:rsid w:val="002E7436"/>
    <w:rsid w:val="002E7D21"/>
    <w:rsid w:val="002F0158"/>
    <w:rsid w:val="002F024D"/>
    <w:rsid w:val="002F0BE4"/>
    <w:rsid w:val="002F1A00"/>
    <w:rsid w:val="002F1B1A"/>
    <w:rsid w:val="002F1B5A"/>
    <w:rsid w:val="002F1D38"/>
    <w:rsid w:val="002F2028"/>
    <w:rsid w:val="002F21F5"/>
    <w:rsid w:val="002F224A"/>
    <w:rsid w:val="002F235B"/>
    <w:rsid w:val="002F259B"/>
    <w:rsid w:val="002F290D"/>
    <w:rsid w:val="002F2EE2"/>
    <w:rsid w:val="002F3292"/>
    <w:rsid w:val="002F38BC"/>
    <w:rsid w:val="002F3C5E"/>
    <w:rsid w:val="002F470E"/>
    <w:rsid w:val="002F585D"/>
    <w:rsid w:val="002F5C11"/>
    <w:rsid w:val="002F627B"/>
    <w:rsid w:val="002F6814"/>
    <w:rsid w:val="002F6D80"/>
    <w:rsid w:val="002F7780"/>
    <w:rsid w:val="002F7B17"/>
    <w:rsid w:val="002F7DCA"/>
    <w:rsid w:val="00300DF6"/>
    <w:rsid w:val="0030110F"/>
    <w:rsid w:val="00301158"/>
    <w:rsid w:val="003021B3"/>
    <w:rsid w:val="00302254"/>
    <w:rsid w:val="00302D8A"/>
    <w:rsid w:val="003035CC"/>
    <w:rsid w:val="003039B5"/>
    <w:rsid w:val="003049C3"/>
    <w:rsid w:val="00304DAF"/>
    <w:rsid w:val="003055ED"/>
    <w:rsid w:val="00305644"/>
    <w:rsid w:val="0030693C"/>
    <w:rsid w:val="00306A92"/>
    <w:rsid w:val="00306C16"/>
    <w:rsid w:val="00306D76"/>
    <w:rsid w:val="00311635"/>
    <w:rsid w:val="0031185F"/>
    <w:rsid w:val="003127FE"/>
    <w:rsid w:val="0031289C"/>
    <w:rsid w:val="00312AAF"/>
    <w:rsid w:val="0031327A"/>
    <w:rsid w:val="00313F9C"/>
    <w:rsid w:val="00314F05"/>
    <w:rsid w:val="003156D0"/>
    <w:rsid w:val="00315CD7"/>
    <w:rsid w:val="00316C1F"/>
    <w:rsid w:val="00316D4B"/>
    <w:rsid w:val="00317290"/>
    <w:rsid w:val="003172BA"/>
    <w:rsid w:val="003202D0"/>
    <w:rsid w:val="003206F0"/>
    <w:rsid w:val="00320EC2"/>
    <w:rsid w:val="00321853"/>
    <w:rsid w:val="00321C95"/>
    <w:rsid w:val="00322216"/>
    <w:rsid w:val="00322675"/>
    <w:rsid w:val="003229D1"/>
    <w:rsid w:val="00322B67"/>
    <w:rsid w:val="0032401E"/>
    <w:rsid w:val="0032524A"/>
    <w:rsid w:val="00325602"/>
    <w:rsid w:val="003258D1"/>
    <w:rsid w:val="00325D79"/>
    <w:rsid w:val="003263F9"/>
    <w:rsid w:val="0032649B"/>
    <w:rsid w:val="00326520"/>
    <w:rsid w:val="003273B8"/>
    <w:rsid w:val="00327736"/>
    <w:rsid w:val="003306B5"/>
    <w:rsid w:val="00330CC0"/>
    <w:rsid w:val="00331404"/>
    <w:rsid w:val="00335034"/>
    <w:rsid w:val="00335693"/>
    <w:rsid w:val="00335CB9"/>
    <w:rsid w:val="00335F9E"/>
    <w:rsid w:val="0033604C"/>
    <w:rsid w:val="00336362"/>
    <w:rsid w:val="003364C9"/>
    <w:rsid w:val="00336E3D"/>
    <w:rsid w:val="00336EFF"/>
    <w:rsid w:val="00337D50"/>
    <w:rsid w:val="00337ED7"/>
    <w:rsid w:val="00337F3F"/>
    <w:rsid w:val="00340A6B"/>
    <w:rsid w:val="00340DDC"/>
    <w:rsid w:val="0034147C"/>
    <w:rsid w:val="003415C8"/>
    <w:rsid w:val="0034198B"/>
    <w:rsid w:val="00341B96"/>
    <w:rsid w:val="00341BA7"/>
    <w:rsid w:val="00341D4B"/>
    <w:rsid w:val="003432E8"/>
    <w:rsid w:val="0034335B"/>
    <w:rsid w:val="003438E2"/>
    <w:rsid w:val="003438E4"/>
    <w:rsid w:val="00343C8E"/>
    <w:rsid w:val="00343F80"/>
    <w:rsid w:val="00344245"/>
    <w:rsid w:val="00344476"/>
    <w:rsid w:val="00344EE6"/>
    <w:rsid w:val="00345030"/>
    <w:rsid w:val="00345219"/>
    <w:rsid w:val="003457B1"/>
    <w:rsid w:val="00345979"/>
    <w:rsid w:val="00345B2C"/>
    <w:rsid w:val="0034627E"/>
    <w:rsid w:val="00346FCA"/>
    <w:rsid w:val="003475C4"/>
    <w:rsid w:val="00347AFB"/>
    <w:rsid w:val="00351BBB"/>
    <w:rsid w:val="00351F92"/>
    <w:rsid w:val="0035208A"/>
    <w:rsid w:val="00352269"/>
    <w:rsid w:val="0035255C"/>
    <w:rsid w:val="00352BA3"/>
    <w:rsid w:val="00352E96"/>
    <w:rsid w:val="00352FE3"/>
    <w:rsid w:val="003531E7"/>
    <w:rsid w:val="00353973"/>
    <w:rsid w:val="00353BEE"/>
    <w:rsid w:val="0035430A"/>
    <w:rsid w:val="00354381"/>
    <w:rsid w:val="00354A2A"/>
    <w:rsid w:val="003550EC"/>
    <w:rsid w:val="003552F8"/>
    <w:rsid w:val="003564ED"/>
    <w:rsid w:val="00356730"/>
    <w:rsid w:val="00356AA3"/>
    <w:rsid w:val="00357078"/>
    <w:rsid w:val="003570CB"/>
    <w:rsid w:val="003601BA"/>
    <w:rsid w:val="00360278"/>
    <w:rsid w:val="00360741"/>
    <w:rsid w:val="0036169F"/>
    <w:rsid w:val="00361D33"/>
    <w:rsid w:val="00361FBD"/>
    <w:rsid w:val="003631D5"/>
    <w:rsid w:val="003647CB"/>
    <w:rsid w:val="0036545F"/>
    <w:rsid w:val="00365BCD"/>
    <w:rsid w:val="00367BC7"/>
    <w:rsid w:val="00367CE6"/>
    <w:rsid w:val="00367E39"/>
    <w:rsid w:val="00370A3D"/>
    <w:rsid w:val="00370F37"/>
    <w:rsid w:val="00371121"/>
    <w:rsid w:val="00371EDC"/>
    <w:rsid w:val="00372081"/>
    <w:rsid w:val="00372479"/>
    <w:rsid w:val="00372574"/>
    <w:rsid w:val="00372696"/>
    <w:rsid w:val="003727F7"/>
    <w:rsid w:val="00372F2D"/>
    <w:rsid w:val="003732E9"/>
    <w:rsid w:val="0037338D"/>
    <w:rsid w:val="00373635"/>
    <w:rsid w:val="00373762"/>
    <w:rsid w:val="003747EC"/>
    <w:rsid w:val="003748F0"/>
    <w:rsid w:val="00374B1C"/>
    <w:rsid w:val="003758FA"/>
    <w:rsid w:val="00375E07"/>
    <w:rsid w:val="00375FE7"/>
    <w:rsid w:val="003763DD"/>
    <w:rsid w:val="00376844"/>
    <w:rsid w:val="00376949"/>
    <w:rsid w:val="00376CEA"/>
    <w:rsid w:val="003804F9"/>
    <w:rsid w:val="00381802"/>
    <w:rsid w:val="00381F17"/>
    <w:rsid w:val="003827D7"/>
    <w:rsid w:val="00382AA6"/>
    <w:rsid w:val="00382C56"/>
    <w:rsid w:val="00382EC4"/>
    <w:rsid w:val="0038375E"/>
    <w:rsid w:val="00384D74"/>
    <w:rsid w:val="00385F22"/>
    <w:rsid w:val="003870B6"/>
    <w:rsid w:val="00387F9C"/>
    <w:rsid w:val="0039078B"/>
    <w:rsid w:val="00390A13"/>
    <w:rsid w:val="00390C30"/>
    <w:rsid w:val="003916EB"/>
    <w:rsid w:val="0039175B"/>
    <w:rsid w:val="003918D0"/>
    <w:rsid w:val="00391B83"/>
    <w:rsid w:val="003929EC"/>
    <w:rsid w:val="0039329E"/>
    <w:rsid w:val="00393608"/>
    <w:rsid w:val="003937EC"/>
    <w:rsid w:val="00394B0A"/>
    <w:rsid w:val="00394BB5"/>
    <w:rsid w:val="0039529F"/>
    <w:rsid w:val="00395437"/>
    <w:rsid w:val="00395ABE"/>
    <w:rsid w:val="00395CD2"/>
    <w:rsid w:val="00397522"/>
    <w:rsid w:val="003A0D73"/>
    <w:rsid w:val="003A1641"/>
    <w:rsid w:val="003A35CD"/>
    <w:rsid w:val="003A361E"/>
    <w:rsid w:val="003A3928"/>
    <w:rsid w:val="003A3A1A"/>
    <w:rsid w:val="003A4F29"/>
    <w:rsid w:val="003A670C"/>
    <w:rsid w:val="003A6DF7"/>
    <w:rsid w:val="003B0452"/>
    <w:rsid w:val="003B05F5"/>
    <w:rsid w:val="003B157D"/>
    <w:rsid w:val="003B173C"/>
    <w:rsid w:val="003B1A7B"/>
    <w:rsid w:val="003B298F"/>
    <w:rsid w:val="003B2CC2"/>
    <w:rsid w:val="003B4051"/>
    <w:rsid w:val="003B409D"/>
    <w:rsid w:val="003B4491"/>
    <w:rsid w:val="003B4AF5"/>
    <w:rsid w:val="003B4C5D"/>
    <w:rsid w:val="003B51A5"/>
    <w:rsid w:val="003B6083"/>
    <w:rsid w:val="003B61FB"/>
    <w:rsid w:val="003B63C1"/>
    <w:rsid w:val="003B6696"/>
    <w:rsid w:val="003B6B64"/>
    <w:rsid w:val="003B6C1E"/>
    <w:rsid w:val="003B6D3B"/>
    <w:rsid w:val="003B6DAC"/>
    <w:rsid w:val="003B73FB"/>
    <w:rsid w:val="003B750E"/>
    <w:rsid w:val="003C1221"/>
    <w:rsid w:val="003C1D23"/>
    <w:rsid w:val="003C208B"/>
    <w:rsid w:val="003C23A7"/>
    <w:rsid w:val="003C6811"/>
    <w:rsid w:val="003C6E21"/>
    <w:rsid w:val="003C6EC7"/>
    <w:rsid w:val="003C76A3"/>
    <w:rsid w:val="003C77FF"/>
    <w:rsid w:val="003C7CFA"/>
    <w:rsid w:val="003D0456"/>
    <w:rsid w:val="003D140A"/>
    <w:rsid w:val="003D2918"/>
    <w:rsid w:val="003D3A7A"/>
    <w:rsid w:val="003D45DF"/>
    <w:rsid w:val="003D4692"/>
    <w:rsid w:val="003D475C"/>
    <w:rsid w:val="003D4FAB"/>
    <w:rsid w:val="003D53EF"/>
    <w:rsid w:val="003D5AD9"/>
    <w:rsid w:val="003D5D63"/>
    <w:rsid w:val="003D5DA6"/>
    <w:rsid w:val="003D6EAD"/>
    <w:rsid w:val="003D7B6A"/>
    <w:rsid w:val="003D7B7A"/>
    <w:rsid w:val="003E04EE"/>
    <w:rsid w:val="003E10CC"/>
    <w:rsid w:val="003E1256"/>
    <w:rsid w:val="003E18F7"/>
    <w:rsid w:val="003E24C8"/>
    <w:rsid w:val="003E3EEE"/>
    <w:rsid w:val="003E4AD7"/>
    <w:rsid w:val="003E6BAD"/>
    <w:rsid w:val="003E6C02"/>
    <w:rsid w:val="003E704D"/>
    <w:rsid w:val="003E7EE6"/>
    <w:rsid w:val="003F06B8"/>
    <w:rsid w:val="003F0E13"/>
    <w:rsid w:val="003F0F15"/>
    <w:rsid w:val="003F1A7B"/>
    <w:rsid w:val="003F2709"/>
    <w:rsid w:val="003F2845"/>
    <w:rsid w:val="003F2ECB"/>
    <w:rsid w:val="003F3284"/>
    <w:rsid w:val="003F32CA"/>
    <w:rsid w:val="003F33D2"/>
    <w:rsid w:val="003F3D51"/>
    <w:rsid w:val="003F3FB0"/>
    <w:rsid w:val="003F4631"/>
    <w:rsid w:val="003F4966"/>
    <w:rsid w:val="003F52EB"/>
    <w:rsid w:val="003F7002"/>
    <w:rsid w:val="003F79C6"/>
    <w:rsid w:val="003F7C11"/>
    <w:rsid w:val="003F7FA7"/>
    <w:rsid w:val="0040008C"/>
    <w:rsid w:val="00401885"/>
    <w:rsid w:val="00401BF5"/>
    <w:rsid w:val="00402803"/>
    <w:rsid w:val="0040283A"/>
    <w:rsid w:val="00403108"/>
    <w:rsid w:val="004034E9"/>
    <w:rsid w:val="00403C81"/>
    <w:rsid w:val="00404A60"/>
    <w:rsid w:val="0040518C"/>
    <w:rsid w:val="00405E2D"/>
    <w:rsid w:val="004062BC"/>
    <w:rsid w:val="0040676E"/>
    <w:rsid w:val="0040695F"/>
    <w:rsid w:val="00410CDB"/>
    <w:rsid w:val="00411BEF"/>
    <w:rsid w:val="00411C2C"/>
    <w:rsid w:val="0041279A"/>
    <w:rsid w:val="004131B0"/>
    <w:rsid w:val="00413293"/>
    <w:rsid w:val="00413685"/>
    <w:rsid w:val="00413AF8"/>
    <w:rsid w:val="00413EC1"/>
    <w:rsid w:val="00414017"/>
    <w:rsid w:val="00414AFC"/>
    <w:rsid w:val="0041529E"/>
    <w:rsid w:val="00415AE2"/>
    <w:rsid w:val="00415DA8"/>
    <w:rsid w:val="004165B8"/>
    <w:rsid w:val="004167B1"/>
    <w:rsid w:val="00416B5E"/>
    <w:rsid w:val="00416BF3"/>
    <w:rsid w:val="00416CEB"/>
    <w:rsid w:val="004173D7"/>
    <w:rsid w:val="00420987"/>
    <w:rsid w:val="00420F70"/>
    <w:rsid w:val="0042129E"/>
    <w:rsid w:val="004225D2"/>
    <w:rsid w:val="004232C4"/>
    <w:rsid w:val="004246E2"/>
    <w:rsid w:val="00424DCD"/>
    <w:rsid w:val="004253B6"/>
    <w:rsid w:val="004258FE"/>
    <w:rsid w:val="00426855"/>
    <w:rsid w:val="00426DB7"/>
    <w:rsid w:val="00427F13"/>
    <w:rsid w:val="00430036"/>
    <w:rsid w:val="00430244"/>
    <w:rsid w:val="004312AC"/>
    <w:rsid w:val="0043154A"/>
    <w:rsid w:val="00431E79"/>
    <w:rsid w:val="00433E38"/>
    <w:rsid w:val="00435937"/>
    <w:rsid w:val="00435CB4"/>
    <w:rsid w:val="00436838"/>
    <w:rsid w:val="00437909"/>
    <w:rsid w:val="00437A36"/>
    <w:rsid w:val="00440BA0"/>
    <w:rsid w:val="004435CE"/>
    <w:rsid w:val="00444015"/>
    <w:rsid w:val="00444142"/>
    <w:rsid w:val="004459F5"/>
    <w:rsid w:val="004467C5"/>
    <w:rsid w:val="00447056"/>
    <w:rsid w:val="00447458"/>
    <w:rsid w:val="00447B06"/>
    <w:rsid w:val="00447B35"/>
    <w:rsid w:val="00447D1D"/>
    <w:rsid w:val="0045081C"/>
    <w:rsid w:val="00450C15"/>
    <w:rsid w:val="00450D09"/>
    <w:rsid w:val="00451736"/>
    <w:rsid w:val="00451B12"/>
    <w:rsid w:val="004522B7"/>
    <w:rsid w:val="00452E5A"/>
    <w:rsid w:val="0045318A"/>
    <w:rsid w:val="00453A57"/>
    <w:rsid w:val="00456048"/>
    <w:rsid w:val="004561D7"/>
    <w:rsid w:val="004568D1"/>
    <w:rsid w:val="0045769A"/>
    <w:rsid w:val="00457763"/>
    <w:rsid w:val="0046059A"/>
    <w:rsid w:val="004608FE"/>
    <w:rsid w:val="00460DD3"/>
    <w:rsid w:val="00461E85"/>
    <w:rsid w:val="004637FC"/>
    <w:rsid w:val="00464007"/>
    <w:rsid w:val="00464104"/>
    <w:rsid w:val="004641B2"/>
    <w:rsid w:val="004642C1"/>
    <w:rsid w:val="004645E2"/>
    <w:rsid w:val="004647CE"/>
    <w:rsid w:val="00464B28"/>
    <w:rsid w:val="00465068"/>
    <w:rsid w:val="00466295"/>
    <w:rsid w:val="0046655F"/>
    <w:rsid w:val="0046679F"/>
    <w:rsid w:val="00466EA0"/>
    <w:rsid w:val="00467843"/>
    <w:rsid w:val="0047260A"/>
    <w:rsid w:val="00472F26"/>
    <w:rsid w:val="00473073"/>
    <w:rsid w:val="00473569"/>
    <w:rsid w:val="00473652"/>
    <w:rsid w:val="00473B36"/>
    <w:rsid w:val="00473BB5"/>
    <w:rsid w:val="00474C3B"/>
    <w:rsid w:val="00475D53"/>
    <w:rsid w:val="00476075"/>
    <w:rsid w:val="00476279"/>
    <w:rsid w:val="0047667D"/>
    <w:rsid w:val="00477222"/>
    <w:rsid w:val="00481039"/>
    <w:rsid w:val="00481277"/>
    <w:rsid w:val="00481A83"/>
    <w:rsid w:val="004821C0"/>
    <w:rsid w:val="004823FD"/>
    <w:rsid w:val="00482515"/>
    <w:rsid w:val="00482EE2"/>
    <w:rsid w:val="00483800"/>
    <w:rsid w:val="0048534D"/>
    <w:rsid w:val="00485A2A"/>
    <w:rsid w:val="00485B2F"/>
    <w:rsid w:val="0048608D"/>
    <w:rsid w:val="004868C0"/>
    <w:rsid w:val="0048782B"/>
    <w:rsid w:val="0049072A"/>
    <w:rsid w:val="00490B2B"/>
    <w:rsid w:val="0049359C"/>
    <w:rsid w:val="004944DC"/>
    <w:rsid w:val="0049461B"/>
    <w:rsid w:val="00496120"/>
    <w:rsid w:val="00496A1E"/>
    <w:rsid w:val="00496E82"/>
    <w:rsid w:val="00497646"/>
    <w:rsid w:val="004A0A25"/>
    <w:rsid w:val="004A17F0"/>
    <w:rsid w:val="004A1DB6"/>
    <w:rsid w:val="004A1FA6"/>
    <w:rsid w:val="004A2BAA"/>
    <w:rsid w:val="004A53EB"/>
    <w:rsid w:val="004A572D"/>
    <w:rsid w:val="004A6A7F"/>
    <w:rsid w:val="004A712A"/>
    <w:rsid w:val="004A7638"/>
    <w:rsid w:val="004A7BE5"/>
    <w:rsid w:val="004A7E21"/>
    <w:rsid w:val="004B166B"/>
    <w:rsid w:val="004B21AE"/>
    <w:rsid w:val="004B278F"/>
    <w:rsid w:val="004B2A40"/>
    <w:rsid w:val="004B2ECF"/>
    <w:rsid w:val="004B3013"/>
    <w:rsid w:val="004B345B"/>
    <w:rsid w:val="004B4496"/>
    <w:rsid w:val="004B5AA2"/>
    <w:rsid w:val="004B6590"/>
    <w:rsid w:val="004B673E"/>
    <w:rsid w:val="004C03E3"/>
    <w:rsid w:val="004C0D92"/>
    <w:rsid w:val="004C1760"/>
    <w:rsid w:val="004C2216"/>
    <w:rsid w:val="004C223F"/>
    <w:rsid w:val="004C23A3"/>
    <w:rsid w:val="004C2D15"/>
    <w:rsid w:val="004C2F90"/>
    <w:rsid w:val="004C32A8"/>
    <w:rsid w:val="004C3460"/>
    <w:rsid w:val="004C3495"/>
    <w:rsid w:val="004C3690"/>
    <w:rsid w:val="004C3A00"/>
    <w:rsid w:val="004C3ADB"/>
    <w:rsid w:val="004C3EA4"/>
    <w:rsid w:val="004C423D"/>
    <w:rsid w:val="004C5090"/>
    <w:rsid w:val="004C6294"/>
    <w:rsid w:val="004C6310"/>
    <w:rsid w:val="004C7531"/>
    <w:rsid w:val="004C77D3"/>
    <w:rsid w:val="004C7980"/>
    <w:rsid w:val="004D1A22"/>
    <w:rsid w:val="004D1A8F"/>
    <w:rsid w:val="004D1B31"/>
    <w:rsid w:val="004D1F0F"/>
    <w:rsid w:val="004D269F"/>
    <w:rsid w:val="004D28DF"/>
    <w:rsid w:val="004D3002"/>
    <w:rsid w:val="004D3512"/>
    <w:rsid w:val="004D4875"/>
    <w:rsid w:val="004D5EF9"/>
    <w:rsid w:val="004D6087"/>
    <w:rsid w:val="004D64CD"/>
    <w:rsid w:val="004D6EA8"/>
    <w:rsid w:val="004D76EA"/>
    <w:rsid w:val="004D7F82"/>
    <w:rsid w:val="004E1896"/>
    <w:rsid w:val="004E1A02"/>
    <w:rsid w:val="004E2F2F"/>
    <w:rsid w:val="004E3B48"/>
    <w:rsid w:val="004E3D33"/>
    <w:rsid w:val="004E4EA3"/>
    <w:rsid w:val="004E647C"/>
    <w:rsid w:val="004E6D9D"/>
    <w:rsid w:val="004E79C7"/>
    <w:rsid w:val="004E7DD3"/>
    <w:rsid w:val="004F089C"/>
    <w:rsid w:val="004F09C1"/>
    <w:rsid w:val="004F0ACF"/>
    <w:rsid w:val="004F2D92"/>
    <w:rsid w:val="004F2F5B"/>
    <w:rsid w:val="004F466C"/>
    <w:rsid w:val="004F4BDF"/>
    <w:rsid w:val="004F6674"/>
    <w:rsid w:val="004F6D03"/>
    <w:rsid w:val="004F7137"/>
    <w:rsid w:val="004F7AD1"/>
    <w:rsid w:val="004F7D6E"/>
    <w:rsid w:val="00501DE1"/>
    <w:rsid w:val="00502612"/>
    <w:rsid w:val="005028A1"/>
    <w:rsid w:val="00502DE4"/>
    <w:rsid w:val="005034FF"/>
    <w:rsid w:val="00503B3E"/>
    <w:rsid w:val="00504CD9"/>
    <w:rsid w:val="00505610"/>
    <w:rsid w:val="00505A43"/>
    <w:rsid w:val="00505F35"/>
    <w:rsid w:val="00506E65"/>
    <w:rsid w:val="00507900"/>
    <w:rsid w:val="005107D3"/>
    <w:rsid w:val="00510D9D"/>
    <w:rsid w:val="0051236A"/>
    <w:rsid w:val="005126B6"/>
    <w:rsid w:val="005126D5"/>
    <w:rsid w:val="00512EF1"/>
    <w:rsid w:val="005143D4"/>
    <w:rsid w:val="00514474"/>
    <w:rsid w:val="0051478B"/>
    <w:rsid w:val="005148DA"/>
    <w:rsid w:val="0051519D"/>
    <w:rsid w:val="00515353"/>
    <w:rsid w:val="00516AFB"/>
    <w:rsid w:val="00516D60"/>
    <w:rsid w:val="005170F7"/>
    <w:rsid w:val="00517F18"/>
    <w:rsid w:val="005201D3"/>
    <w:rsid w:val="005201FB"/>
    <w:rsid w:val="00520D75"/>
    <w:rsid w:val="00521740"/>
    <w:rsid w:val="00521B25"/>
    <w:rsid w:val="00521B9B"/>
    <w:rsid w:val="00521BEC"/>
    <w:rsid w:val="00521F84"/>
    <w:rsid w:val="005220BB"/>
    <w:rsid w:val="005222FA"/>
    <w:rsid w:val="00522EDA"/>
    <w:rsid w:val="005231DC"/>
    <w:rsid w:val="00523BF4"/>
    <w:rsid w:val="0052453F"/>
    <w:rsid w:val="00524D3C"/>
    <w:rsid w:val="0052538B"/>
    <w:rsid w:val="00527044"/>
    <w:rsid w:val="005277E9"/>
    <w:rsid w:val="00527A6D"/>
    <w:rsid w:val="00527C88"/>
    <w:rsid w:val="00530981"/>
    <w:rsid w:val="00532D47"/>
    <w:rsid w:val="00532E8F"/>
    <w:rsid w:val="00533250"/>
    <w:rsid w:val="00533780"/>
    <w:rsid w:val="0053384A"/>
    <w:rsid w:val="00534DB5"/>
    <w:rsid w:val="0053615B"/>
    <w:rsid w:val="00536B70"/>
    <w:rsid w:val="005371CB"/>
    <w:rsid w:val="00540178"/>
    <w:rsid w:val="00540268"/>
    <w:rsid w:val="00540BF7"/>
    <w:rsid w:val="005411CD"/>
    <w:rsid w:val="005413FA"/>
    <w:rsid w:val="0054140E"/>
    <w:rsid w:val="00542BDB"/>
    <w:rsid w:val="00543EC0"/>
    <w:rsid w:val="00544737"/>
    <w:rsid w:val="0054487F"/>
    <w:rsid w:val="00545113"/>
    <w:rsid w:val="00545EFA"/>
    <w:rsid w:val="00545F11"/>
    <w:rsid w:val="00546024"/>
    <w:rsid w:val="00546D72"/>
    <w:rsid w:val="00550316"/>
    <w:rsid w:val="00550E82"/>
    <w:rsid w:val="00552076"/>
    <w:rsid w:val="005526BD"/>
    <w:rsid w:val="00552867"/>
    <w:rsid w:val="00552AA1"/>
    <w:rsid w:val="005534DF"/>
    <w:rsid w:val="0055467A"/>
    <w:rsid w:val="00554849"/>
    <w:rsid w:val="00554AC8"/>
    <w:rsid w:val="00555BAE"/>
    <w:rsid w:val="005571C3"/>
    <w:rsid w:val="00557472"/>
    <w:rsid w:val="00557F3C"/>
    <w:rsid w:val="0056002F"/>
    <w:rsid w:val="00560B2B"/>
    <w:rsid w:val="0056128F"/>
    <w:rsid w:val="005613B2"/>
    <w:rsid w:val="00561AC6"/>
    <w:rsid w:val="005622BB"/>
    <w:rsid w:val="00563369"/>
    <w:rsid w:val="00564DA0"/>
    <w:rsid w:val="00565709"/>
    <w:rsid w:val="00565842"/>
    <w:rsid w:val="00565A47"/>
    <w:rsid w:val="00566096"/>
    <w:rsid w:val="0056640B"/>
    <w:rsid w:val="00566C6E"/>
    <w:rsid w:val="00566ECD"/>
    <w:rsid w:val="0056761B"/>
    <w:rsid w:val="00570939"/>
    <w:rsid w:val="005712AF"/>
    <w:rsid w:val="005713B5"/>
    <w:rsid w:val="00571F0E"/>
    <w:rsid w:val="00572A85"/>
    <w:rsid w:val="00572BA8"/>
    <w:rsid w:val="00573501"/>
    <w:rsid w:val="00575283"/>
    <w:rsid w:val="00576C79"/>
    <w:rsid w:val="005777F7"/>
    <w:rsid w:val="00577B46"/>
    <w:rsid w:val="00577EFF"/>
    <w:rsid w:val="005802F6"/>
    <w:rsid w:val="00580A77"/>
    <w:rsid w:val="005819E3"/>
    <w:rsid w:val="00581CBD"/>
    <w:rsid w:val="0058280B"/>
    <w:rsid w:val="00582879"/>
    <w:rsid w:val="00583060"/>
    <w:rsid w:val="00584DCE"/>
    <w:rsid w:val="00584F1E"/>
    <w:rsid w:val="00584FAA"/>
    <w:rsid w:val="0058511A"/>
    <w:rsid w:val="00586D1C"/>
    <w:rsid w:val="0058702E"/>
    <w:rsid w:val="00587054"/>
    <w:rsid w:val="00587290"/>
    <w:rsid w:val="005905FD"/>
    <w:rsid w:val="00591A1D"/>
    <w:rsid w:val="00591A83"/>
    <w:rsid w:val="005923B0"/>
    <w:rsid w:val="00592B76"/>
    <w:rsid w:val="005939D3"/>
    <w:rsid w:val="0059442D"/>
    <w:rsid w:val="0059464D"/>
    <w:rsid w:val="005952B8"/>
    <w:rsid w:val="00595470"/>
    <w:rsid w:val="005955B0"/>
    <w:rsid w:val="0059592E"/>
    <w:rsid w:val="00595D1A"/>
    <w:rsid w:val="00595F32"/>
    <w:rsid w:val="00596ADE"/>
    <w:rsid w:val="00597DD7"/>
    <w:rsid w:val="00597FFB"/>
    <w:rsid w:val="005A160D"/>
    <w:rsid w:val="005A1A89"/>
    <w:rsid w:val="005A1CF0"/>
    <w:rsid w:val="005A30CB"/>
    <w:rsid w:val="005A366E"/>
    <w:rsid w:val="005A4851"/>
    <w:rsid w:val="005A48BD"/>
    <w:rsid w:val="005A4ABC"/>
    <w:rsid w:val="005A4D5F"/>
    <w:rsid w:val="005A50BA"/>
    <w:rsid w:val="005A59D5"/>
    <w:rsid w:val="005A6253"/>
    <w:rsid w:val="005A67A3"/>
    <w:rsid w:val="005A7EA7"/>
    <w:rsid w:val="005B01C6"/>
    <w:rsid w:val="005B0F0F"/>
    <w:rsid w:val="005B118F"/>
    <w:rsid w:val="005B1529"/>
    <w:rsid w:val="005B28FB"/>
    <w:rsid w:val="005B2A89"/>
    <w:rsid w:val="005B3302"/>
    <w:rsid w:val="005B35E5"/>
    <w:rsid w:val="005B374F"/>
    <w:rsid w:val="005B37AF"/>
    <w:rsid w:val="005B37BB"/>
    <w:rsid w:val="005B37D7"/>
    <w:rsid w:val="005B37D8"/>
    <w:rsid w:val="005B3CE2"/>
    <w:rsid w:val="005B3D8C"/>
    <w:rsid w:val="005B5A89"/>
    <w:rsid w:val="005B6788"/>
    <w:rsid w:val="005B6F0B"/>
    <w:rsid w:val="005B77A5"/>
    <w:rsid w:val="005C09BE"/>
    <w:rsid w:val="005C0CF5"/>
    <w:rsid w:val="005C20C2"/>
    <w:rsid w:val="005C2289"/>
    <w:rsid w:val="005C267E"/>
    <w:rsid w:val="005C26B9"/>
    <w:rsid w:val="005C2DD6"/>
    <w:rsid w:val="005C2EE0"/>
    <w:rsid w:val="005C2FF1"/>
    <w:rsid w:val="005C3058"/>
    <w:rsid w:val="005C34B4"/>
    <w:rsid w:val="005C37F2"/>
    <w:rsid w:val="005C3E6B"/>
    <w:rsid w:val="005C3FC2"/>
    <w:rsid w:val="005C4122"/>
    <w:rsid w:val="005C4350"/>
    <w:rsid w:val="005C4475"/>
    <w:rsid w:val="005C4B0B"/>
    <w:rsid w:val="005C4FA0"/>
    <w:rsid w:val="005C5087"/>
    <w:rsid w:val="005C6F66"/>
    <w:rsid w:val="005D0865"/>
    <w:rsid w:val="005D0B89"/>
    <w:rsid w:val="005D11EF"/>
    <w:rsid w:val="005D1833"/>
    <w:rsid w:val="005D1FB4"/>
    <w:rsid w:val="005D27C3"/>
    <w:rsid w:val="005D2BBE"/>
    <w:rsid w:val="005D30D8"/>
    <w:rsid w:val="005D3571"/>
    <w:rsid w:val="005D55CB"/>
    <w:rsid w:val="005D56CD"/>
    <w:rsid w:val="005D68D0"/>
    <w:rsid w:val="005D69D8"/>
    <w:rsid w:val="005D7445"/>
    <w:rsid w:val="005E0125"/>
    <w:rsid w:val="005E0978"/>
    <w:rsid w:val="005E0AE2"/>
    <w:rsid w:val="005E0B64"/>
    <w:rsid w:val="005E0F78"/>
    <w:rsid w:val="005E1146"/>
    <w:rsid w:val="005E1EB1"/>
    <w:rsid w:val="005E2A90"/>
    <w:rsid w:val="005E31AB"/>
    <w:rsid w:val="005E321D"/>
    <w:rsid w:val="005E3684"/>
    <w:rsid w:val="005E369E"/>
    <w:rsid w:val="005E4356"/>
    <w:rsid w:val="005E4984"/>
    <w:rsid w:val="005E5621"/>
    <w:rsid w:val="005E67FA"/>
    <w:rsid w:val="005E6CE0"/>
    <w:rsid w:val="005E6D95"/>
    <w:rsid w:val="005E6F77"/>
    <w:rsid w:val="005E7065"/>
    <w:rsid w:val="005E7CF0"/>
    <w:rsid w:val="005E7F0E"/>
    <w:rsid w:val="005F1869"/>
    <w:rsid w:val="005F1D84"/>
    <w:rsid w:val="005F1EEE"/>
    <w:rsid w:val="005F352B"/>
    <w:rsid w:val="005F3B97"/>
    <w:rsid w:val="005F4BA9"/>
    <w:rsid w:val="005F4DFE"/>
    <w:rsid w:val="005F4E0A"/>
    <w:rsid w:val="005F5EBC"/>
    <w:rsid w:val="005F6302"/>
    <w:rsid w:val="005F6AB1"/>
    <w:rsid w:val="005F7455"/>
    <w:rsid w:val="005F77C8"/>
    <w:rsid w:val="005F7AB9"/>
    <w:rsid w:val="005F7CDB"/>
    <w:rsid w:val="005F7CF3"/>
    <w:rsid w:val="005F7DC9"/>
    <w:rsid w:val="00600559"/>
    <w:rsid w:val="006009D0"/>
    <w:rsid w:val="00601977"/>
    <w:rsid w:val="0060300D"/>
    <w:rsid w:val="00603309"/>
    <w:rsid w:val="006036B2"/>
    <w:rsid w:val="006037D1"/>
    <w:rsid w:val="00604747"/>
    <w:rsid w:val="00605F01"/>
    <w:rsid w:val="00606659"/>
    <w:rsid w:val="00606AAA"/>
    <w:rsid w:val="00607FAE"/>
    <w:rsid w:val="00610667"/>
    <w:rsid w:val="006115C2"/>
    <w:rsid w:val="00611BFE"/>
    <w:rsid w:val="00613626"/>
    <w:rsid w:val="00613B17"/>
    <w:rsid w:val="006140D5"/>
    <w:rsid w:val="006142C4"/>
    <w:rsid w:val="00614FE6"/>
    <w:rsid w:val="006154E7"/>
    <w:rsid w:val="0061603E"/>
    <w:rsid w:val="0061656E"/>
    <w:rsid w:val="00616898"/>
    <w:rsid w:val="00616D9C"/>
    <w:rsid w:val="00616EF1"/>
    <w:rsid w:val="0061741B"/>
    <w:rsid w:val="0061747A"/>
    <w:rsid w:val="00617B4A"/>
    <w:rsid w:val="00617D9A"/>
    <w:rsid w:val="006214E2"/>
    <w:rsid w:val="00621C87"/>
    <w:rsid w:val="006223E7"/>
    <w:rsid w:val="00622416"/>
    <w:rsid w:val="00622479"/>
    <w:rsid w:val="00622AAF"/>
    <w:rsid w:val="00622B44"/>
    <w:rsid w:val="00622BD6"/>
    <w:rsid w:val="00622DED"/>
    <w:rsid w:val="00623C9C"/>
    <w:rsid w:val="00623D31"/>
    <w:rsid w:val="00624610"/>
    <w:rsid w:val="0062676B"/>
    <w:rsid w:val="00626D27"/>
    <w:rsid w:val="00626EFB"/>
    <w:rsid w:val="0062799E"/>
    <w:rsid w:val="00627C7C"/>
    <w:rsid w:val="006305F3"/>
    <w:rsid w:val="0063113C"/>
    <w:rsid w:val="00631725"/>
    <w:rsid w:val="006324DB"/>
    <w:rsid w:val="006334AC"/>
    <w:rsid w:val="006344A5"/>
    <w:rsid w:val="006344F2"/>
    <w:rsid w:val="006348F8"/>
    <w:rsid w:val="00634EE2"/>
    <w:rsid w:val="006351B8"/>
    <w:rsid w:val="00636095"/>
    <w:rsid w:val="0063770D"/>
    <w:rsid w:val="00637D32"/>
    <w:rsid w:val="006413D6"/>
    <w:rsid w:val="00641F66"/>
    <w:rsid w:val="006424ED"/>
    <w:rsid w:val="00642FAC"/>
    <w:rsid w:val="006433BC"/>
    <w:rsid w:val="006435A7"/>
    <w:rsid w:val="00643877"/>
    <w:rsid w:val="006442A3"/>
    <w:rsid w:val="006444EA"/>
    <w:rsid w:val="00645815"/>
    <w:rsid w:val="00646EB0"/>
    <w:rsid w:val="00646F79"/>
    <w:rsid w:val="0064707B"/>
    <w:rsid w:val="0064727F"/>
    <w:rsid w:val="006504B9"/>
    <w:rsid w:val="006513CF"/>
    <w:rsid w:val="00651F45"/>
    <w:rsid w:val="00652B14"/>
    <w:rsid w:val="006538D9"/>
    <w:rsid w:val="00653E39"/>
    <w:rsid w:val="00653FF6"/>
    <w:rsid w:val="00654615"/>
    <w:rsid w:val="00655765"/>
    <w:rsid w:val="00655A6D"/>
    <w:rsid w:val="006569E4"/>
    <w:rsid w:val="00656A2C"/>
    <w:rsid w:val="006570DF"/>
    <w:rsid w:val="00657FCB"/>
    <w:rsid w:val="0066006C"/>
    <w:rsid w:val="00660361"/>
    <w:rsid w:val="0066069B"/>
    <w:rsid w:val="00661182"/>
    <w:rsid w:val="00661D49"/>
    <w:rsid w:val="00661E5D"/>
    <w:rsid w:val="00664207"/>
    <w:rsid w:val="006647A1"/>
    <w:rsid w:val="00664BB3"/>
    <w:rsid w:val="00664C24"/>
    <w:rsid w:val="00664E6E"/>
    <w:rsid w:val="00665A5A"/>
    <w:rsid w:val="00665C39"/>
    <w:rsid w:val="00666C45"/>
    <w:rsid w:val="00667FFA"/>
    <w:rsid w:val="0067020D"/>
    <w:rsid w:val="00670BC3"/>
    <w:rsid w:val="00670CB4"/>
    <w:rsid w:val="00671207"/>
    <w:rsid w:val="0067133F"/>
    <w:rsid w:val="0067147B"/>
    <w:rsid w:val="0067175F"/>
    <w:rsid w:val="00671A4F"/>
    <w:rsid w:val="00672941"/>
    <w:rsid w:val="00673913"/>
    <w:rsid w:val="00674391"/>
    <w:rsid w:val="006750EA"/>
    <w:rsid w:val="006758F6"/>
    <w:rsid w:val="00675D00"/>
    <w:rsid w:val="00676036"/>
    <w:rsid w:val="00676361"/>
    <w:rsid w:val="00676716"/>
    <w:rsid w:val="0067672C"/>
    <w:rsid w:val="00677733"/>
    <w:rsid w:val="00677AFF"/>
    <w:rsid w:val="00677FC2"/>
    <w:rsid w:val="006809C7"/>
    <w:rsid w:val="00681853"/>
    <w:rsid w:val="0068255F"/>
    <w:rsid w:val="00682F87"/>
    <w:rsid w:val="006855F2"/>
    <w:rsid w:val="00685740"/>
    <w:rsid w:val="00685E1B"/>
    <w:rsid w:val="00685F10"/>
    <w:rsid w:val="006863CA"/>
    <w:rsid w:val="00687473"/>
    <w:rsid w:val="00690578"/>
    <w:rsid w:val="0069074E"/>
    <w:rsid w:val="00691172"/>
    <w:rsid w:val="00691379"/>
    <w:rsid w:val="00691507"/>
    <w:rsid w:val="00692336"/>
    <w:rsid w:val="00692DBE"/>
    <w:rsid w:val="006941F1"/>
    <w:rsid w:val="00694612"/>
    <w:rsid w:val="0069501A"/>
    <w:rsid w:val="00695945"/>
    <w:rsid w:val="00695C53"/>
    <w:rsid w:val="006961F2"/>
    <w:rsid w:val="00696521"/>
    <w:rsid w:val="0069686A"/>
    <w:rsid w:val="00696CF0"/>
    <w:rsid w:val="00697492"/>
    <w:rsid w:val="006979F4"/>
    <w:rsid w:val="00697DC3"/>
    <w:rsid w:val="006A03BB"/>
    <w:rsid w:val="006A185E"/>
    <w:rsid w:val="006A1A80"/>
    <w:rsid w:val="006A23E7"/>
    <w:rsid w:val="006A357F"/>
    <w:rsid w:val="006A5E46"/>
    <w:rsid w:val="006A6097"/>
    <w:rsid w:val="006A68E2"/>
    <w:rsid w:val="006A7642"/>
    <w:rsid w:val="006B13B0"/>
    <w:rsid w:val="006B1BB2"/>
    <w:rsid w:val="006B1C3B"/>
    <w:rsid w:val="006B1D07"/>
    <w:rsid w:val="006B2494"/>
    <w:rsid w:val="006B2F6F"/>
    <w:rsid w:val="006B31E4"/>
    <w:rsid w:val="006B35B7"/>
    <w:rsid w:val="006B3C67"/>
    <w:rsid w:val="006B406E"/>
    <w:rsid w:val="006B46E0"/>
    <w:rsid w:val="006B4FEA"/>
    <w:rsid w:val="006B641C"/>
    <w:rsid w:val="006B67AD"/>
    <w:rsid w:val="006B6C06"/>
    <w:rsid w:val="006B7CB7"/>
    <w:rsid w:val="006C11DE"/>
    <w:rsid w:val="006C141F"/>
    <w:rsid w:val="006C1B8E"/>
    <w:rsid w:val="006C1F12"/>
    <w:rsid w:val="006C22C0"/>
    <w:rsid w:val="006C2A49"/>
    <w:rsid w:val="006C3EA0"/>
    <w:rsid w:val="006C3F7D"/>
    <w:rsid w:val="006C40C2"/>
    <w:rsid w:val="006C4949"/>
    <w:rsid w:val="006C4C30"/>
    <w:rsid w:val="006C60D8"/>
    <w:rsid w:val="006C6CBC"/>
    <w:rsid w:val="006C7D95"/>
    <w:rsid w:val="006D099C"/>
    <w:rsid w:val="006D0F38"/>
    <w:rsid w:val="006D0F55"/>
    <w:rsid w:val="006D1C76"/>
    <w:rsid w:val="006D2428"/>
    <w:rsid w:val="006D243F"/>
    <w:rsid w:val="006D3616"/>
    <w:rsid w:val="006D3EED"/>
    <w:rsid w:val="006D437B"/>
    <w:rsid w:val="006D46CA"/>
    <w:rsid w:val="006D4C24"/>
    <w:rsid w:val="006D50D1"/>
    <w:rsid w:val="006D51B0"/>
    <w:rsid w:val="006D6CDD"/>
    <w:rsid w:val="006D7AD0"/>
    <w:rsid w:val="006E1725"/>
    <w:rsid w:val="006E18F0"/>
    <w:rsid w:val="006E4D0E"/>
    <w:rsid w:val="006E50B7"/>
    <w:rsid w:val="006E5C80"/>
    <w:rsid w:val="006E5D19"/>
    <w:rsid w:val="006E5ED3"/>
    <w:rsid w:val="006E6258"/>
    <w:rsid w:val="006E6EF6"/>
    <w:rsid w:val="006E7124"/>
    <w:rsid w:val="006E74BD"/>
    <w:rsid w:val="006E75DF"/>
    <w:rsid w:val="006E7678"/>
    <w:rsid w:val="006E7963"/>
    <w:rsid w:val="006E7A27"/>
    <w:rsid w:val="006E7CFE"/>
    <w:rsid w:val="006E7F83"/>
    <w:rsid w:val="006F2C9D"/>
    <w:rsid w:val="006F36E0"/>
    <w:rsid w:val="006F37A8"/>
    <w:rsid w:val="006F432B"/>
    <w:rsid w:val="006F4B09"/>
    <w:rsid w:val="006F505E"/>
    <w:rsid w:val="006F567F"/>
    <w:rsid w:val="006F5BBA"/>
    <w:rsid w:val="006F5E7E"/>
    <w:rsid w:val="006F6A76"/>
    <w:rsid w:val="006F6C6A"/>
    <w:rsid w:val="00700BC8"/>
    <w:rsid w:val="0070179E"/>
    <w:rsid w:val="00701AC8"/>
    <w:rsid w:val="00701DA8"/>
    <w:rsid w:val="007020EF"/>
    <w:rsid w:val="007040E9"/>
    <w:rsid w:val="007040EF"/>
    <w:rsid w:val="007042BC"/>
    <w:rsid w:val="007042CA"/>
    <w:rsid w:val="00704305"/>
    <w:rsid w:val="00705E6B"/>
    <w:rsid w:val="007069EA"/>
    <w:rsid w:val="00706A60"/>
    <w:rsid w:val="00707061"/>
    <w:rsid w:val="00707559"/>
    <w:rsid w:val="007078B2"/>
    <w:rsid w:val="00710AAB"/>
    <w:rsid w:val="0071160E"/>
    <w:rsid w:val="00711B70"/>
    <w:rsid w:val="007127A7"/>
    <w:rsid w:val="0071286B"/>
    <w:rsid w:val="007129DA"/>
    <w:rsid w:val="00712A54"/>
    <w:rsid w:val="007131C9"/>
    <w:rsid w:val="0071435F"/>
    <w:rsid w:val="007147CC"/>
    <w:rsid w:val="00716057"/>
    <w:rsid w:val="0071633C"/>
    <w:rsid w:val="007166F5"/>
    <w:rsid w:val="00717201"/>
    <w:rsid w:val="007173CE"/>
    <w:rsid w:val="00717CD4"/>
    <w:rsid w:val="00717FA6"/>
    <w:rsid w:val="00720244"/>
    <w:rsid w:val="00720D54"/>
    <w:rsid w:val="007220E1"/>
    <w:rsid w:val="007228FB"/>
    <w:rsid w:val="00722F20"/>
    <w:rsid w:val="007237D1"/>
    <w:rsid w:val="00724043"/>
    <w:rsid w:val="007254BC"/>
    <w:rsid w:val="007257AA"/>
    <w:rsid w:val="00725AA6"/>
    <w:rsid w:val="00726C27"/>
    <w:rsid w:val="00727223"/>
    <w:rsid w:val="0072782E"/>
    <w:rsid w:val="007278C4"/>
    <w:rsid w:val="007301D0"/>
    <w:rsid w:val="007301F1"/>
    <w:rsid w:val="007326E0"/>
    <w:rsid w:val="00732F10"/>
    <w:rsid w:val="007343BF"/>
    <w:rsid w:val="007344A5"/>
    <w:rsid w:val="007355E4"/>
    <w:rsid w:val="00736460"/>
    <w:rsid w:val="007374E3"/>
    <w:rsid w:val="00737D79"/>
    <w:rsid w:val="00740031"/>
    <w:rsid w:val="00742008"/>
    <w:rsid w:val="00742279"/>
    <w:rsid w:val="007423AA"/>
    <w:rsid w:val="0074270A"/>
    <w:rsid w:val="007430C5"/>
    <w:rsid w:val="0074414D"/>
    <w:rsid w:val="007441ED"/>
    <w:rsid w:val="007458ED"/>
    <w:rsid w:val="007462C8"/>
    <w:rsid w:val="0074690A"/>
    <w:rsid w:val="00746EF4"/>
    <w:rsid w:val="00746FE4"/>
    <w:rsid w:val="00747EBD"/>
    <w:rsid w:val="007503EF"/>
    <w:rsid w:val="00750515"/>
    <w:rsid w:val="00751507"/>
    <w:rsid w:val="00751ACC"/>
    <w:rsid w:val="00751BEC"/>
    <w:rsid w:val="00751DFE"/>
    <w:rsid w:val="00752EDC"/>
    <w:rsid w:val="00753A4A"/>
    <w:rsid w:val="00753E48"/>
    <w:rsid w:val="00754656"/>
    <w:rsid w:val="00754D25"/>
    <w:rsid w:val="00754F94"/>
    <w:rsid w:val="00755244"/>
    <w:rsid w:val="007560D3"/>
    <w:rsid w:val="0075655D"/>
    <w:rsid w:val="0075661E"/>
    <w:rsid w:val="00757C3A"/>
    <w:rsid w:val="007609F7"/>
    <w:rsid w:val="00760AC5"/>
    <w:rsid w:val="00760E25"/>
    <w:rsid w:val="00760EB9"/>
    <w:rsid w:val="00760FAE"/>
    <w:rsid w:val="007615A4"/>
    <w:rsid w:val="0076214F"/>
    <w:rsid w:val="00762BFD"/>
    <w:rsid w:val="00762C2E"/>
    <w:rsid w:val="007636DF"/>
    <w:rsid w:val="007639B1"/>
    <w:rsid w:val="007643A9"/>
    <w:rsid w:val="00764437"/>
    <w:rsid w:val="00764848"/>
    <w:rsid w:val="00765319"/>
    <w:rsid w:val="00766CCC"/>
    <w:rsid w:val="00770678"/>
    <w:rsid w:val="0077223B"/>
    <w:rsid w:val="0077245F"/>
    <w:rsid w:val="0077274B"/>
    <w:rsid w:val="00772F81"/>
    <w:rsid w:val="0077358A"/>
    <w:rsid w:val="007735BE"/>
    <w:rsid w:val="0077419C"/>
    <w:rsid w:val="007744E8"/>
    <w:rsid w:val="0077485B"/>
    <w:rsid w:val="00775AF6"/>
    <w:rsid w:val="007760E5"/>
    <w:rsid w:val="007765E7"/>
    <w:rsid w:val="0077672C"/>
    <w:rsid w:val="00780200"/>
    <w:rsid w:val="00781409"/>
    <w:rsid w:val="007817B9"/>
    <w:rsid w:val="00781FEA"/>
    <w:rsid w:val="00782557"/>
    <w:rsid w:val="00782AAE"/>
    <w:rsid w:val="00782B0B"/>
    <w:rsid w:val="00782C36"/>
    <w:rsid w:val="00783596"/>
    <w:rsid w:val="00783CC3"/>
    <w:rsid w:val="007844DD"/>
    <w:rsid w:val="007847E2"/>
    <w:rsid w:val="0078528C"/>
    <w:rsid w:val="00785F34"/>
    <w:rsid w:val="0078765D"/>
    <w:rsid w:val="0079013C"/>
    <w:rsid w:val="0079043B"/>
    <w:rsid w:val="007904C0"/>
    <w:rsid w:val="00790E6E"/>
    <w:rsid w:val="00791AE2"/>
    <w:rsid w:val="00792865"/>
    <w:rsid w:val="00792A60"/>
    <w:rsid w:val="00792C57"/>
    <w:rsid w:val="00792D9D"/>
    <w:rsid w:val="00793186"/>
    <w:rsid w:val="007935E9"/>
    <w:rsid w:val="00793A1A"/>
    <w:rsid w:val="007946CE"/>
    <w:rsid w:val="00794CCF"/>
    <w:rsid w:val="00795508"/>
    <w:rsid w:val="00795E84"/>
    <w:rsid w:val="00795FE3"/>
    <w:rsid w:val="007960A1"/>
    <w:rsid w:val="007960A8"/>
    <w:rsid w:val="00796631"/>
    <w:rsid w:val="00796DD1"/>
    <w:rsid w:val="00797300"/>
    <w:rsid w:val="00797914"/>
    <w:rsid w:val="00797C03"/>
    <w:rsid w:val="00797C8E"/>
    <w:rsid w:val="007A09BB"/>
    <w:rsid w:val="007A1FD6"/>
    <w:rsid w:val="007A3127"/>
    <w:rsid w:val="007A3C05"/>
    <w:rsid w:val="007A5B6C"/>
    <w:rsid w:val="007A66DC"/>
    <w:rsid w:val="007A6CE1"/>
    <w:rsid w:val="007A74AF"/>
    <w:rsid w:val="007A7F24"/>
    <w:rsid w:val="007B0D8E"/>
    <w:rsid w:val="007B0E84"/>
    <w:rsid w:val="007B0F8A"/>
    <w:rsid w:val="007B1FFD"/>
    <w:rsid w:val="007B22D0"/>
    <w:rsid w:val="007B2910"/>
    <w:rsid w:val="007B2F49"/>
    <w:rsid w:val="007B3983"/>
    <w:rsid w:val="007B3A5C"/>
    <w:rsid w:val="007B4503"/>
    <w:rsid w:val="007B5CC9"/>
    <w:rsid w:val="007B6BA1"/>
    <w:rsid w:val="007B6D08"/>
    <w:rsid w:val="007C127C"/>
    <w:rsid w:val="007C1386"/>
    <w:rsid w:val="007C18A4"/>
    <w:rsid w:val="007C31FB"/>
    <w:rsid w:val="007C4612"/>
    <w:rsid w:val="007C46A1"/>
    <w:rsid w:val="007C5EA2"/>
    <w:rsid w:val="007C655E"/>
    <w:rsid w:val="007C68E1"/>
    <w:rsid w:val="007C6DDE"/>
    <w:rsid w:val="007C71FA"/>
    <w:rsid w:val="007C766C"/>
    <w:rsid w:val="007C7ADE"/>
    <w:rsid w:val="007D01C1"/>
    <w:rsid w:val="007D02A6"/>
    <w:rsid w:val="007D05FA"/>
    <w:rsid w:val="007D0C01"/>
    <w:rsid w:val="007D1933"/>
    <w:rsid w:val="007D1AA0"/>
    <w:rsid w:val="007D2FA1"/>
    <w:rsid w:val="007D3169"/>
    <w:rsid w:val="007D3328"/>
    <w:rsid w:val="007D4B32"/>
    <w:rsid w:val="007D4E83"/>
    <w:rsid w:val="007D4F77"/>
    <w:rsid w:val="007D4F8A"/>
    <w:rsid w:val="007D6ABA"/>
    <w:rsid w:val="007D6F96"/>
    <w:rsid w:val="007D7658"/>
    <w:rsid w:val="007E01F3"/>
    <w:rsid w:val="007E022E"/>
    <w:rsid w:val="007E023A"/>
    <w:rsid w:val="007E02E9"/>
    <w:rsid w:val="007E08D8"/>
    <w:rsid w:val="007E26FB"/>
    <w:rsid w:val="007E29D8"/>
    <w:rsid w:val="007E29E4"/>
    <w:rsid w:val="007E2F94"/>
    <w:rsid w:val="007E3395"/>
    <w:rsid w:val="007E4DCA"/>
    <w:rsid w:val="007E5BA2"/>
    <w:rsid w:val="007E650B"/>
    <w:rsid w:val="007E72FC"/>
    <w:rsid w:val="007E7426"/>
    <w:rsid w:val="007F1800"/>
    <w:rsid w:val="007F2064"/>
    <w:rsid w:val="007F25D4"/>
    <w:rsid w:val="007F2C42"/>
    <w:rsid w:val="007F4064"/>
    <w:rsid w:val="007F41E0"/>
    <w:rsid w:val="007F43AE"/>
    <w:rsid w:val="007F45C4"/>
    <w:rsid w:val="007F48A1"/>
    <w:rsid w:val="007F5126"/>
    <w:rsid w:val="007F5822"/>
    <w:rsid w:val="007F70D4"/>
    <w:rsid w:val="007F71E1"/>
    <w:rsid w:val="007F765C"/>
    <w:rsid w:val="007F7EE4"/>
    <w:rsid w:val="00800F42"/>
    <w:rsid w:val="008014A7"/>
    <w:rsid w:val="00801970"/>
    <w:rsid w:val="00801A96"/>
    <w:rsid w:val="00801E1F"/>
    <w:rsid w:val="0080221C"/>
    <w:rsid w:val="0080308C"/>
    <w:rsid w:val="0080364C"/>
    <w:rsid w:val="00803A5E"/>
    <w:rsid w:val="00803B62"/>
    <w:rsid w:val="008058F6"/>
    <w:rsid w:val="00805DD2"/>
    <w:rsid w:val="00806140"/>
    <w:rsid w:val="008066DE"/>
    <w:rsid w:val="00810688"/>
    <w:rsid w:val="008108B8"/>
    <w:rsid w:val="00810F62"/>
    <w:rsid w:val="008119D7"/>
    <w:rsid w:val="008120A9"/>
    <w:rsid w:val="00812E8F"/>
    <w:rsid w:val="00813276"/>
    <w:rsid w:val="00813BA8"/>
    <w:rsid w:val="00813F3E"/>
    <w:rsid w:val="0081481C"/>
    <w:rsid w:val="00814D4C"/>
    <w:rsid w:val="00815004"/>
    <w:rsid w:val="00815079"/>
    <w:rsid w:val="008154B5"/>
    <w:rsid w:val="0081598D"/>
    <w:rsid w:val="008165EE"/>
    <w:rsid w:val="00816A8B"/>
    <w:rsid w:val="008203D7"/>
    <w:rsid w:val="008215DE"/>
    <w:rsid w:val="00821619"/>
    <w:rsid w:val="00821762"/>
    <w:rsid w:val="0082185F"/>
    <w:rsid w:val="00821BDF"/>
    <w:rsid w:val="00821C1A"/>
    <w:rsid w:val="008248ED"/>
    <w:rsid w:val="0082494F"/>
    <w:rsid w:val="00825207"/>
    <w:rsid w:val="00826BB2"/>
    <w:rsid w:val="00826DB7"/>
    <w:rsid w:val="008271BF"/>
    <w:rsid w:val="008276D8"/>
    <w:rsid w:val="008306A0"/>
    <w:rsid w:val="00830ECE"/>
    <w:rsid w:val="00831E80"/>
    <w:rsid w:val="00832961"/>
    <w:rsid w:val="00833319"/>
    <w:rsid w:val="008333DC"/>
    <w:rsid w:val="0083427C"/>
    <w:rsid w:val="008349DB"/>
    <w:rsid w:val="00834F4C"/>
    <w:rsid w:val="0083506F"/>
    <w:rsid w:val="008358D8"/>
    <w:rsid w:val="00835D5F"/>
    <w:rsid w:val="00836DB9"/>
    <w:rsid w:val="00837270"/>
    <w:rsid w:val="00837521"/>
    <w:rsid w:val="008378AF"/>
    <w:rsid w:val="008400F0"/>
    <w:rsid w:val="0084034D"/>
    <w:rsid w:val="00840992"/>
    <w:rsid w:val="00842D94"/>
    <w:rsid w:val="00843410"/>
    <w:rsid w:val="00843503"/>
    <w:rsid w:val="0084354F"/>
    <w:rsid w:val="00843E77"/>
    <w:rsid w:val="00845367"/>
    <w:rsid w:val="008458C8"/>
    <w:rsid w:val="00845B26"/>
    <w:rsid w:val="00845E98"/>
    <w:rsid w:val="00846F63"/>
    <w:rsid w:val="00847273"/>
    <w:rsid w:val="00847381"/>
    <w:rsid w:val="0085005B"/>
    <w:rsid w:val="008501F1"/>
    <w:rsid w:val="0085036A"/>
    <w:rsid w:val="00850407"/>
    <w:rsid w:val="008519A3"/>
    <w:rsid w:val="00851F8A"/>
    <w:rsid w:val="008527B9"/>
    <w:rsid w:val="00854415"/>
    <w:rsid w:val="00854780"/>
    <w:rsid w:val="00854C30"/>
    <w:rsid w:val="00854DAF"/>
    <w:rsid w:val="00855A86"/>
    <w:rsid w:val="00855A99"/>
    <w:rsid w:val="00855C60"/>
    <w:rsid w:val="00856284"/>
    <w:rsid w:val="00857D5E"/>
    <w:rsid w:val="0086047D"/>
    <w:rsid w:val="00860704"/>
    <w:rsid w:val="00860759"/>
    <w:rsid w:val="008607F4"/>
    <w:rsid w:val="00860E48"/>
    <w:rsid w:val="00860F36"/>
    <w:rsid w:val="00863738"/>
    <w:rsid w:val="00864C71"/>
    <w:rsid w:val="008651F5"/>
    <w:rsid w:val="00865DEF"/>
    <w:rsid w:val="00867B52"/>
    <w:rsid w:val="00867DA9"/>
    <w:rsid w:val="00867EF6"/>
    <w:rsid w:val="00870925"/>
    <w:rsid w:val="0087101D"/>
    <w:rsid w:val="00871677"/>
    <w:rsid w:val="008734CE"/>
    <w:rsid w:val="008734D0"/>
    <w:rsid w:val="00873648"/>
    <w:rsid w:val="008740E6"/>
    <w:rsid w:val="00874870"/>
    <w:rsid w:val="0087504E"/>
    <w:rsid w:val="00875692"/>
    <w:rsid w:val="008756B7"/>
    <w:rsid w:val="00880B7E"/>
    <w:rsid w:val="008819A8"/>
    <w:rsid w:val="00881AF7"/>
    <w:rsid w:val="00882BC7"/>
    <w:rsid w:val="00884492"/>
    <w:rsid w:val="00885C65"/>
    <w:rsid w:val="00885F28"/>
    <w:rsid w:val="00886148"/>
    <w:rsid w:val="00886776"/>
    <w:rsid w:val="008869F3"/>
    <w:rsid w:val="008878FF"/>
    <w:rsid w:val="00887CD4"/>
    <w:rsid w:val="008921E8"/>
    <w:rsid w:val="008925BE"/>
    <w:rsid w:val="00892810"/>
    <w:rsid w:val="00892B32"/>
    <w:rsid w:val="008933B2"/>
    <w:rsid w:val="008936A5"/>
    <w:rsid w:val="00893C7C"/>
    <w:rsid w:val="008940CC"/>
    <w:rsid w:val="008947E8"/>
    <w:rsid w:val="00896146"/>
    <w:rsid w:val="008966B8"/>
    <w:rsid w:val="008A06AD"/>
    <w:rsid w:val="008A155E"/>
    <w:rsid w:val="008A1810"/>
    <w:rsid w:val="008A1E56"/>
    <w:rsid w:val="008A2153"/>
    <w:rsid w:val="008A24AC"/>
    <w:rsid w:val="008A26DE"/>
    <w:rsid w:val="008A2ADA"/>
    <w:rsid w:val="008A3109"/>
    <w:rsid w:val="008A3177"/>
    <w:rsid w:val="008A325C"/>
    <w:rsid w:val="008A4492"/>
    <w:rsid w:val="008A46CC"/>
    <w:rsid w:val="008A5CE8"/>
    <w:rsid w:val="008A66E0"/>
    <w:rsid w:val="008A6FB0"/>
    <w:rsid w:val="008A706A"/>
    <w:rsid w:val="008A76E9"/>
    <w:rsid w:val="008B0406"/>
    <w:rsid w:val="008B08FD"/>
    <w:rsid w:val="008B0E6E"/>
    <w:rsid w:val="008B1629"/>
    <w:rsid w:val="008B27C1"/>
    <w:rsid w:val="008B2B7C"/>
    <w:rsid w:val="008B3044"/>
    <w:rsid w:val="008B455A"/>
    <w:rsid w:val="008B49CA"/>
    <w:rsid w:val="008B4B8F"/>
    <w:rsid w:val="008B4D12"/>
    <w:rsid w:val="008B5056"/>
    <w:rsid w:val="008B5A11"/>
    <w:rsid w:val="008B5BBC"/>
    <w:rsid w:val="008B5C57"/>
    <w:rsid w:val="008B6191"/>
    <w:rsid w:val="008B662B"/>
    <w:rsid w:val="008B74BC"/>
    <w:rsid w:val="008B7D2B"/>
    <w:rsid w:val="008B7F37"/>
    <w:rsid w:val="008C0A3D"/>
    <w:rsid w:val="008C3279"/>
    <w:rsid w:val="008C3B4F"/>
    <w:rsid w:val="008C4400"/>
    <w:rsid w:val="008C5BB3"/>
    <w:rsid w:val="008C6096"/>
    <w:rsid w:val="008C6181"/>
    <w:rsid w:val="008C6E5A"/>
    <w:rsid w:val="008C7836"/>
    <w:rsid w:val="008C7CBD"/>
    <w:rsid w:val="008D0DA3"/>
    <w:rsid w:val="008D2004"/>
    <w:rsid w:val="008D48AF"/>
    <w:rsid w:val="008D4C0D"/>
    <w:rsid w:val="008D5333"/>
    <w:rsid w:val="008D58D8"/>
    <w:rsid w:val="008D6078"/>
    <w:rsid w:val="008D6101"/>
    <w:rsid w:val="008D754D"/>
    <w:rsid w:val="008D7D3E"/>
    <w:rsid w:val="008E0B99"/>
    <w:rsid w:val="008E0C0B"/>
    <w:rsid w:val="008E131F"/>
    <w:rsid w:val="008E1A5A"/>
    <w:rsid w:val="008E1D33"/>
    <w:rsid w:val="008E287D"/>
    <w:rsid w:val="008E380D"/>
    <w:rsid w:val="008E3A55"/>
    <w:rsid w:val="008E3D0F"/>
    <w:rsid w:val="008E3F96"/>
    <w:rsid w:val="008E4144"/>
    <w:rsid w:val="008E44A6"/>
    <w:rsid w:val="008E4FEC"/>
    <w:rsid w:val="008E6D23"/>
    <w:rsid w:val="008F0912"/>
    <w:rsid w:val="008F1E27"/>
    <w:rsid w:val="008F21B7"/>
    <w:rsid w:val="008F2EF1"/>
    <w:rsid w:val="008F316C"/>
    <w:rsid w:val="008F3735"/>
    <w:rsid w:val="008F45D0"/>
    <w:rsid w:val="008F4626"/>
    <w:rsid w:val="008F5E58"/>
    <w:rsid w:val="008F6AC4"/>
    <w:rsid w:val="008F722D"/>
    <w:rsid w:val="00900823"/>
    <w:rsid w:val="00900985"/>
    <w:rsid w:val="00900B4E"/>
    <w:rsid w:val="00900BDA"/>
    <w:rsid w:val="00900DC8"/>
    <w:rsid w:val="00901BF5"/>
    <w:rsid w:val="00901BF8"/>
    <w:rsid w:val="00901E90"/>
    <w:rsid w:val="0090304E"/>
    <w:rsid w:val="0090402E"/>
    <w:rsid w:val="0090527F"/>
    <w:rsid w:val="00906E00"/>
    <w:rsid w:val="00907AEE"/>
    <w:rsid w:val="00910666"/>
    <w:rsid w:val="00911CE9"/>
    <w:rsid w:val="00912436"/>
    <w:rsid w:val="0091248A"/>
    <w:rsid w:val="00913C10"/>
    <w:rsid w:val="009142D2"/>
    <w:rsid w:val="0091435A"/>
    <w:rsid w:val="00914C82"/>
    <w:rsid w:val="00914CD3"/>
    <w:rsid w:val="00915406"/>
    <w:rsid w:val="00915987"/>
    <w:rsid w:val="009162F2"/>
    <w:rsid w:val="009169D5"/>
    <w:rsid w:val="009170DD"/>
    <w:rsid w:val="0092043A"/>
    <w:rsid w:val="00920A14"/>
    <w:rsid w:val="00921D49"/>
    <w:rsid w:val="0092253B"/>
    <w:rsid w:val="009237DD"/>
    <w:rsid w:val="00923F3C"/>
    <w:rsid w:val="00923FF4"/>
    <w:rsid w:val="00924123"/>
    <w:rsid w:val="00925785"/>
    <w:rsid w:val="00925804"/>
    <w:rsid w:val="00925E2F"/>
    <w:rsid w:val="00926D2A"/>
    <w:rsid w:val="0092747F"/>
    <w:rsid w:val="00927532"/>
    <w:rsid w:val="0092774B"/>
    <w:rsid w:val="00927D59"/>
    <w:rsid w:val="009305C6"/>
    <w:rsid w:val="00930634"/>
    <w:rsid w:val="0093065E"/>
    <w:rsid w:val="00930706"/>
    <w:rsid w:val="009308E2"/>
    <w:rsid w:val="00930F9C"/>
    <w:rsid w:val="00931C75"/>
    <w:rsid w:val="009355E6"/>
    <w:rsid w:val="00935B22"/>
    <w:rsid w:val="009374B1"/>
    <w:rsid w:val="00937E9F"/>
    <w:rsid w:val="00940BF5"/>
    <w:rsid w:val="009411EE"/>
    <w:rsid w:val="00941238"/>
    <w:rsid w:val="00941E0B"/>
    <w:rsid w:val="009427E8"/>
    <w:rsid w:val="0094280F"/>
    <w:rsid w:val="0094363B"/>
    <w:rsid w:val="00944862"/>
    <w:rsid w:val="0094496D"/>
    <w:rsid w:val="00944C00"/>
    <w:rsid w:val="00945188"/>
    <w:rsid w:val="00945669"/>
    <w:rsid w:val="009457A4"/>
    <w:rsid w:val="009462B5"/>
    <w:rsid w:val="009466EA"/>
    <w:rsid w:val="0094680F"/>
    <w:rsid w:val="0094756A"/>
    <w:rsid w:val="00947B4B"/>
    <w:rsid w:val="009515A9"/>
    <w:rsid w:val="0095261E"/>
    <w:rsid w:val="009526FF"/>
    <w:rsid w:val="00952AC6"/>
    <w:rsid w:val="00952FF1"/>
    <w:rsid w:val="009537BF"/>
    <w:rsid w:val="00953D0A"/>
    <w:rsid w:val="00953E14"/>
    <w:rsid w:val="00954A8F"/>
    <w:rsid w:val="00954CFD"/>
    <w:rsid w:val="009551C9"/>
    <w:rsid w:val="00955863"/>
    <w:rsid w:val="00955BF2"/>
    <w:rsid w:val="009568F5"/>
    <w:rsid w:val="00956FB0"/>
    <w:rsid w:val="009573B8"/>
    <w:rsid w:val="00957E5A"/>
    <w:rsid w:val="00961197"/>
    <w:rsid w:val="009617A8"/>
    <w:rsid w:val="0096232B"/>
    <w:rsid w:val="0096272C"/>
    <w:rsid w:val="00962B9F"/>
    <w:rsid w:val="00962F99"/>
    <w:rsid w:val="00963821"/>
    <w:rsid w:val="00963F2D"/>
    <w:rsid w:val="00964F7F"/>
    <w:rsid w:val="009657D3"/>
    <w:rsid w:val="00965846"/>
    <w:rsid w:val="00965DA3"/>
    <w:rsid w:val="009663ED"/>
    <w:rsid w:val="00966B9A"/>
    <w:rsid w:val="00966D89"/>
    <w:rsid w:val="00967275"/>
    <w:rsid w:val="00967371"/>
    <w:rsid w:val="0096772B"/>
    <w:rsid w:val="00967A7F"/>
    <w:rsid w:val="00970068"/>
    <w:rsid w:val="00970259"/>
    <w:rsid w:val="009709F9"/>
    <w:rsid w:val="00970B70"/>
    <w:rsid w:val="00970CC2"/>
    <w:rsid w:val="00970DB8"/>
    <w:rsid w:val="00971A1D"/>
    <w:rsid w:val="009736C1"/>
    <w:rsid w:val="00973EF9"/>
    <w:rsid w:val="00974148"/>
    <w:rsid w:val="00974AD9"/>
    <w:rsid w:val="009750C4"/>
    <w:rsid w:val="0097514C"/>
    <w:rsid w:val="00976154"/>
    <w:rsid w:val="009766F0"/>
    <w:rsid w:val="00976987"/>
    <w:rsid w:val="00976DBB"/>
    <w:rsid w:val="00977705"/>
    <w:rsid w:val="00977786"/>
    <w:rsid w:val="0098108A"/>
    <w:rsid w:val="00981185"/>
    <w:rsid w:val="009811E6"/>
    <w:rsid w:val="00981594"/>
    <w:rsid w:val="0098167A"/>
    <w:rsid w:val="0098284D"/>
    <w:rsid w:val="00982E2D"/>
    <w:rsid w:val="00983E60"/>
    <w:rsid w:val="009846CE"/>
    <w:rsid w:val="0098577B"/>
    <w:rsid w:val="0098615E"/>
    <w:rsid w:val="00986550"/>
    <w:rsid w:val="00986CA3"/>
    <w:rsid w:val="009872A7"/>
    <w:rsid w:val="00987340"/>
    <w:rsid w:val="0099005C"/>
    <w:rsid w:val="009902B6"/>
    <w:rsid w:val="009903E1"/>
    <w:rsid w:val="00990604"/>
    <w:rsid w:val="00990977"/>
    <w:rsid w:val="0099152A"/>
    <w:rsid w:val="0099183D"/>
    <w:rsid w:val="009922E8"/>
    <w:rsid w:val="00992DCE"/>
    <w:rsid w:val="009931B1"/>
    <w:rsid w:val="00993330"/>
    <w:rsid w:val="009938BD"/>
    <w:rsid w:val="00996CE6"/>
    <w:rsid w:val="009A0AAF"/>
    <w:rsid w:val="009A107F"/>
    <w:rsid w:val="009A26B6"/>
    <w:rsid w:val="009A3540"/>
    <w:rsid w:val="009A3D0E"/>
    <w:rsid w:val="009A432C"/>
    <w:rsid w:val="009A4D9A"/>
    <w:rsid w:val="009A56A3"/>
    <w:rsid w:val="009A5EE5"/>
    <w:rsid w:val="009A6901"/>
    <w:rsid w:val="009A76D1"/>
    <w:rsid w:val="009A7740"/>
    <w:rsid w:val="009A7857"/>
    <w:rsid w:val="009B0099"/>
    <w:rsid w:val="009B0309"/>
    <w:rsid w:val="009B03DF"/>
    <w:rsid w:val="009B09AF"/>
    <w:rsid w:val="009B21BB"/>
    <w:rsid w:val="009B23BB"/>
    <w:rsid w:val="009B26E3"/>
    <w:rsid w:val="009B2BAA"/>
    <w:rsid w:val="009B2BB0"/>
    <w:rsid w:val="009B3245"/>
    <w:rsid w:val="009B3627"/>
    <w:rsid w:val="009B3D52"/>
    <w:rsid w:val="009B4C4A"/>
    <w:rsid w:val="009B538A"/>
    <w:rsid w:val="009C009D"/>
    <w:rsid w:val="009C045F"/>
    <w:rsid w:val="009C0584"/>
    <w:rsid w:val="009C25FF"/>
    <w:rsid w:val="009C32CE"/>
    <w:rsid w:val="009C36AD"/>
    <w:rsid w:val="009C3871"/>
    <w:rsid w:val="009C522E"/>
    <w:rsid w:val="009D0145"/>
    <w:rsid w:val="009D0901"/>
    <w:rsid w:val="009D0F3F"/>
    <w:rsid w:val="009D15CF"/>
    <w:rsid w:val="009D2279"/>
    <w:rsid w:val="009D270A"/>
    <w:rsid w:val="009D3259"/>
    <w:rsid w:val="009D3311"/>
    <w:rsid w:val="009D3384"/>
    <w:rsid w:val="009D3640"/>
    <w:rsid w:val="009D3665"/>
    <w:rsid w:val="009D3872"/>
    <w:rsid w:val="009D3905"/>
    <w:rsid w:val="009D5252"/>
    <w:rsid w:val="009D5A19"/>
    <w:rsid w:val="009D62C7"/>
    <w:rsid w:val="009D7487"/>
    <w:rsid w:val="009E0313"/>
    <w:rsid w:val="009E0B5A"/>
    <w:rsid w:val="009E135C"/>
    <w:rsid w:val="009E2022"/>
    <w:rsid w:val="009E25A4"/>
    <w:rsid w:val="009E343B"/>
    <w:rsid w:val="009E3442"/>
    <w:rsid w:val="009E3595"/>
    <w:rsid w:val="009E36D8"/>
    <w:rsid w:val="009E3D1F"/>
    <w:rsid w:val="009E45D0"/>
    <w:rsid w:val="009E4711"/>
    <w:rsid w:val="009E49DA"/>
    <w:rsid w:val="009E4D73"/>
    <w:rsid w:val="009E5755"/>
    <w:rsid w:val="009E602F"/>
    <w:rsid w:val="009E6371"/>
    <w:rsid w:val="009E7793"/>
    <w:rsid w:val="009F0456"/>
    <w:rsid w:val="009F0841"/>
    <w:rsid w:val="009F155F"/>
    <w:rsid w:val="009F32E9"/>
    <w:rsid w:val="009F4035"/>
    <w:rsid w:val="009F4762"/>
    <w:rsid w:val="009F4EE5"/>
    <w:rsid w:val="009F5049"/>
    <w:rsid w:val="009F56E3"/>
    <w:rsid w:val="009F61A1"/>
    <w:rsid w:val="009F705F"/>
    <w:rsid w:val="009F754F"/>
    <w:rsid w:val="009F7FB9"/>
    <w:rsid w:val="009F7FF5"/>
    <w:rsid w:val="00A00060"/>
    <w:rsid w:val="00A0027C"/>
    <w:rsid w:val="00A0052E"/>
    <w:rsid w:val="00A0087C"/>
    <w:rsid w:val="00A015D0"/>
    <w:rsid w:val="00A0168E"/>
    <w:rsid w:val="00A01AED"/>
    <w:rsid w:val="00A01AFD"/>
    <w:rsid w:val="00A01DC4"/>
    <w:rsid w:val="00A021A7"/>
    <w:rsid w:val="00A02438"/>
    <w:rsid w:val="00A0279A"/>
    <w:rsid w:val="00A02B6A"/>
    <w:rsid w:val="00A0390A"/>
    <w:rsid w:val="00A03B75"/>
    <w:rsid w:val="00A03CEF"/>
    <w:rsid w:val="00A05962"/>
    <w:rsid w:val="00A05C3B"/>
    <w:rsid w:val="00A06834"/>
    <w:rsid w:val="00A07D4D"/>
    <w:rsid w:val="00A07D74"/>
    <w:rsid w:val="00A10430"/>
    <w:rsid w:val="00A10A9D"/>
    <w:rsid w:val="00A11A85"/>
    <w:rsid w:val="00A11F30"/>
    <w:rsid w:val="00A135FA"/>
    <w:rsid w:val="00A14C1A"/>
    <w:rsid w:val="00A15371"/>
    <w:rsid w:val="00A161B7"/>
    <w:rsid w:val="00A1658E"/>
    <w:rsid w:val="00A16C2E"/>
    <w:rsid w:val="00A173C8"/>
    <w:rsid w:val="00A17E62"/>
    <w:rsid w:val="00A17F69"/>
    <w:rsid w:val="00A20A94"/>
    <w:rsid w:val="00A21E36"/>
    <w:rsid w:val="00A21EF2"/>
    <w:rsid w:val="00A223D3"/>
    <w:rsid w:val="00A227CA"/>
    <w:rsid w:val="00A23574"/>
    <w:rsid w:val="00A23CD8"/>
    <w:rsid w:val="00A240BE"/>
    <w:rsid w:val="00A2430E"/>
    <w:rsid w:val="00A245A9"/>
    <w:rsid w:val="00A2469C"/>
    <w:rsid w:val="00A24B2E"/>
    <w:rsid w:val="00A24BDA"/>
    <w:rsid w:val="00A24EF5"/>
    <w:rsid w:val="00A2510D"/>
    <w:rsid w:val="00A259D5"/>
    <w:rsid w:val="00A25AE7"/>
    <w:rsid w:val="00A25CDB"/>
    <w:rsid w:val="00A26250"/>
    <w:rsid w:val="00A27376"/>
    <w:rsid w:val="00A27B6B"/>
    <w:rsid w:val="00A27C2C"/>
    <w:rsid w:val="00A32994"/>
    <w:rsid w:val="00A332A2"/>
    <w:rsid w:val="00A334A8"/>
    <w:rsid w:val="00A3442E"/>
    <w:rsid w:val="00A346F3"/>
    <w:rsid w:val="00A360BF"/>
    <w:rsid w:val="00A3688F"/>
    <w:rsid w:val="00A36A73"/>
    <w:rsid w:val="00A377DE"/>
    <w:rsid w:val="00A37A60"/>
    <w:rsid w:val="00A40D40"/>
    <w:rsid w:val="00A413DD"/>
    <w:rsid w:val="00A41B90"/>
    <w:rsid w:val="00A42A60"/>
    <w:rsid w:val="00A42C27"/>
    <w:rsid w:val="00A4445A"/>
    <w:rsid w:val="00A445FE"/>
    <w:rsid w:val="00A447BA"/>
    <w:rsid w:val="00A44C9D"/>
    <w:rsid w:val="00A454ED"/>
    <w:rsid w:val="00A45847"/>
    <w:rsid w:val="00A458D5"/>
    <w:rsid w:val="00A464B6"/>
    <w:rsid w:val="00A46783"/>
    <w:rsid w:val="00A46A26"/>
    <w:rsid w:val="00A46B8A"/>
    <w:rsid w:val="00A46D0F"/>
    <w:rsid w:val="00A46EEC"/>
    <w:rsid w:val="00A4701B"/>
    <w:rsid w:val="00A47074"/>
    <w:rsid w:val="00A50657"/>
    <w:rsid w:val="00A50828"/>
    <w:rsid w:val="00A510CC"/>
    <w:rsid w:val="00A515BE"/>
    <w:rsid w:val="00A51CB5"/>
    <w:rsid w:val="00A51F90"/>
    <w:rsid w:val="00A52534"/>
    <w:rsid w:val="00A526FB"/>
    <w:rsid w:val="00A54B27"/>
    <w:rsid w:val="00A54F7E"/>
    <w:rsid w:val="00A552B5"/>
    <w:rsid w:val="00A55475"/>
    <w:rsid w:val="00A557A0"/>
    <w:rsid w:val="00A55CEE"/>
    <w:rsid w:val="00A55DA9"/>
    <w:rsid w:val="00A5677A"/>
    <w:rsid w:val="00A567E9"/>
    <w:rsid w:val="00A5752C"/>
    <w:rsid w:val="00A60C2A"/>
    <w:rsid w:val="00A6164A"/>
    <w:rsid w:val="00A6230C"/>
    <w:rsid w:val="00A62CC3"/>
    <w:rsid w:val="00A63B15"/>
    <w:rsid w:val="00A64500"/>
    <w:rsid w:val="00A64D1B"/>
    <w:rsid w:val="00A66121"/>
    <w:rsid w:val="00A66C83"/>
    <w:rsid w:val="00A6704C"/>
    <w:rsid w:val="00A67254"/>
    <w:rsid w:val="00A67806"/>
    <w:rsid w:val="00A6781C"/>
    <w:rsid w:val="00A67866"/>
    <w:rsid w:val="00A70814"/>
    <w:rsid w:val="00A70A3B"/>
    <w:rsid w:val="00A715B8"/>
    <w:rsid w:val="00A718D1"/>
    <w:rsid w:val="00A727E5"/>
    <w:rsid w:val="00A72C1C"/>
    <w:rsid w:val="00A72F81"/>
    <w:rsid w:val="00A73432"/>
    <w:rsid w:val="00A739BE"/>
    <w:rsid w:val="00A7404A"/>
    <w:rsid w:val="00A74379"/>
    <w:rsid w:val="00A7457D"/>
    <w:rsid w:val="00A7464E"/>
    <w:rsid w:val="00A74C97"/>
    <w:rsid w:val="00A74CAA"/>
    <w:rsid w:val="00A74E20"/>
    <w:rsid w:val="00A74ED8"/>
    <w:rsid w:val="00A7553D"/>
    <w:rsid w:val="00A75832"/>
    <w:rsid w:val="00A75BA0"/>
    <w:rsid w:val="00A75EE9"/>
    <w:rsid w:val="00A766B0"/>
    <w:rsid w:val="00A76F6E"/>
    <w:rsid w:val="00A77657"/>
    <w:rsid w:val="00A7766F"/>
    <w:rsid w:val="00A801AC"/>
    <w:rsid w:val="00A8026A"/>
    <w:rsid w:val="00A80B4C"/>
    <w:rsid w:val="00A811C5"/>
    <w:rsid w:val="00A81553"/>
    <w:rsid w:val="00A84A07"/>
    <w:rsid w:val="00A84B88"/>
    <w:rsid w:val="00A84E71"/>
    <w:rsid w:val="00A8519B"/>
    <w:rsid w:val="00A85AFE"/>
    <w:rsid w:val="00A86177"/>
    <w:rsid w:val="00A86CBD"/>
    <w:rsid w:val="00A86F11"/>
    <w:rsid w:val="00A91277"/>
    <w:rsid w:val="00A91737"/>
    <w:rsid w:val="00A91D81"/>
    <w:rsid w:val="00A927CD"/>
    <w:rsid w:val="00A92CBD"/>
    <w:rsid w:val="00A93A21"/>
    <w:rsid w:val="00A94D5E"/>
    <w:rsid w:val="00A94FB0"/>
    <w:rsid w:val="00A954F2"/>
    <w:rsid w:val="00A9644D"/>
    <w:rsid w:val="00A96F16"/>
    <w:rsid w:val="00A96F36"/>
    <w:rsid w:val="00A97AB9"/>
    <w:rsid w:val="00A97E56"/>
    <w:rsid w:val="00AA0635"/>
    <w:rsid w:val="00AA0AE4"/>
    <w:rsid w:val="00AA0F32"/>
    <w:rsid w:val="00AA2818"/>
    <w:rsid w:val="00AA324B"/>
    <w:rsid w:val="00AA3B5A"/>
    <w:rsid w:val="00AA3CDD"/>
    <w:rsid w:val="00AA3FC3"/>
    <w:rsid w:val="00AA53E4"/>
    <w:rsid w:val="00AA5745"/>
    <w:rsid w:val="00AA72D8"/>
    <w:rsid w:val="00AB005E"/>
    <w:rsid w:val="00AB1279"/>
    <w:rsid w:val="00AB3386"/>
    <w:rsid w:val="00AB3461"/>
    <w:rsid w:val="00AB3532"/>
    <w:rsid w:val="00AB3533"/>
    <w:rsid w:val="00AB40D9"/>
    <w:rsid w:val="00AB4101"/>
    <w:rsid w:val="00AB4271"/>
    <w:rsid w:val="00AB4BE8"/>
    <w:rsid w:val="00AB4C63"/>
    <w:rsid w:val="00AB4F07"/>
    <w:rsid w:val="00AB518F"/>
    <w:rsid w:val="00AB52F9"/>
    <w:rsid w:val="00AB57EC"/>
    <w:rsid w:val="00AB5D81"/>
    <w:rsid w:val="00AB790B"/>
    <w:rsid w:val="00AC07B5"/>
    <w:rsid w:val="00AC0849"/>
    <w:rsid w:val="00AC0BD8"/>
    <w:rsid w:val="00AC0CBE"/>
    <w:rsid w:val="00AC1534"/>
    <w:rsid w:val="00AC17B6"/>
    <w:rsid w:val="00AC18AA"/>
    <w:rsid w:val="00AC1AE9"/>
    <w:rsid w:val="00AC20F6"/>
    <w:rsid w:val="00AC4793"/>
    <w:rsid w:val="00AC4CF4"/>
    <w:rsid w:val="00AC4D6F"/>
    <w:rsid w:val="00AC5A6C"/>
    <w:rsid w:val="00AC6E8F"/>
    <w:rsid w:val="00AC713C"/>
    <w:rsid w:val="00AC7197"/>
    <w:rsid w:val="00AC71A5"/>
    <w:rsid w:val="00AC764B"/>
    <w:rsid w:val="00AC7EA3"/>
    <w:rsid w:val="00AD040B"/>
    <w:rsid w:val="00AD0D2F"/>
    <w:rsid w:val="00AD20DD"/>
    <w:rsid w:val="00AD2BF4"/>
    <w:rsid w:val="00AD2D96"/>
    <w:rsid w:val="00AD4463"/>
    <w:rsid w:val="00AD572D"/>
    <w:rsid w:val="00AD6D79"/>
    <w:rsid w:val="00AD6D9C"/>
    <w:rsid w:val="00AD754F"/>
    <w:rsid w:val="00AD79BD"/>
    <w:rsid w:val="00AD7AE1"/>
    <w:rsid w:val="00AE02E3"/>
    <w:rsid w:val="00AE0B31"/>
    <w:rsid w:val="00AE18AC"/>
    <w:rsid w:val="00AE33E3"/>
    <w:rsid w:val="00AE3A67"/>
    <w:rsid w:val="00AE3BF9"/>
    <w:rsid w:val="00AE496B"/>
    <w:rsid w:val="00AE558C"/>
    <w:rsid w:val="00AE57F4"/>
    <w:rsid w:val="00AE5A3F"/>
    <w:rsid w:val="00AE638F"/>
    <w:rsid w:val="00AE7ABF"/>
    <w:rsid w:val="00AE7B59"/>
    <w:rsid w:val="00AF029A"/>
    <w:rsid w:val="00AF0E58"/>
    <w:rsid w:val="00AF22D2"/>
    <w:rsid w:val="00AF2E41"/>
    <w:rsid w:val="00AF3EE2"/>
    <w:rsid w:val="00AF44A3"/>
    <w:rsid w:val="00AF45E3"/>
    <w:rsid w:val="00AF477B"/>
    <w:rsid w:val="00AF4EB4"/>
    <w:rsid w:val="00AF5966"/>
    <w:rsid w:val="00AF6D52"/>
    <w:rsid w:val="00B00052"/>
    <w:rsid w:val="00B013B3"/>
    <w:rsid w:val="00B01BC8"/>
    <w:rsid w:val="00B02AB2"/>
    <w:rsid w:val="00B02CAC"/>
    <w:rsid w:val="00B0341D"/>
    <w:rsid w:val="00B03596"/>
    <w:rsid w:val="00B043A3"/>
    <w:rsid w:val="00B04846"/>
    <w:rsid w:val="00B05634"/>
    <w:rsid w:val="00B05780"/>
    <w:rsid w:val="00B06D71"/>
    <w:rsid w:val="00B06E61"/>
    <w:rsid w:val="00B07260"/>
    <w:rsid w:val="00B073D1"/>
    <w:rsid w:val="00B07E09"/>
    <w:rsid w:val="00B07E2F"/>
    <w:rsid w:val="00B11143"/>
    <w:rsid w:val="00B11C64"/>
    <w:rsid w:val="00B11E1D"/>
    <w:rsid w:val="00B122EB"/>
    <w:rsid w:val="00B12FEC"/>
    <w:rsid w:val="00B131BC"/>
    <w:rsid w:val="00B14046"/>
    <w:rsid w:val="00B14567"/>
    <w:rsid w:val="00B1548D"/>
    <w:rsid w:val="00B159D5"/>
    <w:rsid w:val="00B16090"/>
    <w:rsid w:val="00B16391"/>
    <w:rsid w:val="00B174E2"/>
    <w:rsid w:val="00B20625"/>
    <w:rsid w:val="00B21086"/>
    <w:rsid w:val="00B2174C"/>
    <w:rsid w:val="00B21961"/>
    <w:rsid w:val="00B220EE"/>
    <w:rsid w:val="00B22EBD"/>
    <w:rsid w:val="00B2357C"/>
    <w:rsid w:val="00B236C9"/>
    <w:rsid w:val="00B24289"/>
    <w:rsid w:val="00B24DF2"/>
    <w:rsid w:val="00B25D18"/>
    <w:rsid w:val="00B264BC"/>
    <w:rsid w:val="00B26B5E"/>
    <w:rsid w:val="00B27502"/>
    <w:rsid w:val="00B27A68"/>
    <w:rsid w:val="00B27EE3"/>
    <w:rsid w:val="00B3091B"/>
    <w:rsid w:val="00B311D8"/>
    <w:rsid w:val="00B3122C"/>
    <w:rsid w:val="00B3193D"/>
    <w:rsid w:val="00B31DB1"/>
    <w:rsid w:val="00B3240D"/>
    <w:rsid w:val="00B32C59"/>
    <w:rsid w:val="00B32EC5"/>
    <w:rsid w:val="00B3335B"/>
    <w:rsid w:val="00B347E5"/>
    <w:rsid w:val="00B34846"/>
    <w:rsid w:val="00B3512D"/>
    <w:rsid w:val="00B357B2"/>
    <w:rsid w:val="00B364F8"/>
    <w:rsid w:val="00B36CA4"/>
    <w:rsid w:val="00B41D70"/>
    <w:rsid w:val="00B42042"/>
    <w:rsid w:val="00B42D8A"/>
    <w:rsid w:val="00B42F42"/>
    <w:rsid w:val="00B43303"/>
    <w:rsid w:val="00B434D7"/>
    <w:rsid w:val="00B45036"/>
    <w:rsid w:val="00B45782"/>
    <w:rsid w:val="00B45E3D"/>
    <w:rsid w:val="00B46422"/>
    <w:rsid w:val="00B46593"/>
    <w:rsid w:val="00B46D2A"/>
    <w:rsid w:val="00B47AF2"/>
    <w:rsid w:val="00B50B96"/>
    <w:rsid w:val="00B515AF"/>
    <w:rsid w:val="00B51B18"/>
    <w:rsid w:val="00B51CCB"/>
    <w:rsid w:val="00B52883"/>
    <w:rsid w:val="00B52984"/>
    <w:rsid w:val="00B53181"/>
    <w:rsid w:val="00B5374D"/>
    <w:rsid w:val="00B53D82"/>
    <w:rsid w:val="00B552D5"/>
    <w:rsid w:val="00B55B40"/>
    <w:rsid w:val="00B56139"/>
    <w:rsid w:val="00B571D2"/>
    <w:rsid w:val="00B57A28"/>
    <w:rsid w:val="00B57A4F"/>
    <w:rsid w:val="00B60A7A"/>
    <w:rsid w:val="00B61E26"/>
    <w:rsid w:val="00B6229E"/>
    <w:rsid w:val="00B62B0E"/>
    <w:rsid w:val="00B6302F"/>
    <w:rsid w:val="00B635C7"/>
    <w:rsid w:val="00B635DA"/>
    <w:rsid w:val="00B63938"/>
    <w:rsid w:val="00B63D84"/>
    <w:rsid w:val="00B63D86"/>
    <w:rsid w:val="00B640D8"/>
    <w:rsid w:val="00B642D7"/>
    <w:rsid w:val="00B643E1"/>
    <w:rsid w:val="00B6479D"/>
    <w:rsid w:val="00B658F0"/>
    <w:rsid w:val="00B660F9"/>
    <w:rsid w:val="00B666BC"/>
    <w:rsid w:val="00B66EBC"/>
    <w:rsid w:val="00B706F1"/>
    <w:rsid w:val="00B708D9"/>
    <w:rsid w:val="00B70DE8"/>
    <w:rsid w:val="00B712B7"/>
    <w:rsid w:val="00B71B19"/>
    <w:rsid w:val="00B71BF5"/>
    <w:rsid w:val="00B71DA0"/>
    <w:rsid w:val="00B727A4"/>
    <w:rsid w:val="00B72998"/>
    <w:rsid w:val="00B73700"/>
    <w:rsid w:val="00B737C4"/>
    <w:rsid w:val="00B73B2B"/>
    <w:rsid w:val="00B73E16"/>
    <w:rsid w:val="00B74645"/>
    <w:rsid w:val="00B7486C"/>
    <w:rsid w:val="00B7508A"/>
    <w:rsid w:val="00B750AB"/>
    <w:rsid w:val="00B7551C"/>
    <w:rsid w:val="00B75EC7"/>
    <w:rsid w:val="00B76220"/>
    <w:rsid w:val="00B77025"/>
    <w:rsid w:val="00B8137D"/>
    <w:rsid w:val="00B82168"/>
    <w:rsid w:val="00B82583"/>
    <w:rsid w:val="00B82A0A"/>
    <w:rsid w:val="00B841F8"/>
    <w:rsid w:val="00B84B22"/>
    <w:rsid w:val="00B8605C"/>
    <w:rsid w:val="00B86459"/>
    <w:rsid w:val="00B876FF"/>
    <w:rsid w:val="00B87CCE"/>
    <w:rsid w:val="00B87D96"/>
    <w:rsid w:val="00B87E4E"/>
    <w:rsid w:val="00B90181"/>
    <w:rsid w:val="00B91049"/>
    <w:rsid w:val="00B92D4E"/>
    <w:rsid w:val="00B93099"/>
    <w:rsid w:val="00B93F5C"/>
    <w:rsid w:val="00B94009"/>
    <w:rsid w:val="00B9410B"/>
    <w:rsid w:val="00B94790"/>
    <w:rsid w:val="00B959E7"/>
    <w:rsid w:val="00B959EE"/>
    <w:rsid w:val="00B96156"/>
    <w:rsid w:val="00B964BD"/>
    <w:rsid w:val="00B96742"/>
    <w:rsid w:val="00B97AAE"/>
    <w:rsid w:val="00BA0002"/>
    <w:rsid w:val="00BA03F7"/>
    <w:rsid w:val="00BA0A3C"/>
    <w:rsid w:val="00BA0E5D"/>
    <w:rsid w:val="00BA1993"/>
    <w:rsid w:val="00BA1B9A"/>
    <w:rsid w:val="00BA1DEA"/>
    <w:rsid w:val="00BA2085"/>
    <w:rsid w:val="00BA2997"/>
    <w:rsid w:val="00BA2B72"/>
    <w:rsid w:val="00BA433D"/>
    <w:rsid w:val="00BA4374"/>
    <w:rsid w:val="00BA44B4"/>
    <w:rsid w:val="00BA45E9"/>
    <w:rsid w:val="00BA4DFC"/>
    <w:rsid w:val="00BA5472"/>
    <w:rsid w:val="00BA556F"/>
    <w:rsid w:val="00BA607F"/>
    <w:rsid w:val="00BA61E9"/>
    <w:rsid w:val="00BA746B"/>
    <w:rsid w:val="00BB0283"/>
    <w:rsid w:val="00BB0679"/>
    <w:rsid w:val="00BB0835"/>
    <w:rsid w:val="00BB1B22"/>
    <w:rsid w:val="00BB2E9C"/>
    <w:rsid w:val="00BB3A7B"/>
    <w:rsid w:val="00BB4360"/>
    <w:rsid w:val="00BB4B97"/>
    <w:rsid w:val="00BB4F37"/>
    <w:rsid w:val="00BB5620"/>
    <w:rsid w:val="00BB735E"/>
    <w:rsid w:val="00BC0022"/>
    <w:rsid w:val="00BC1179"/>
    <w:rsid w:val="00BC13D6"/>
    <w:rsid w:val="00BC16C9"/>
    <w:rsid w:val="00BC18B9"/>
    <w:rsid w:val="00BC2F55"/>
    <w:rsid w:val="00BC3653"/>
    <w:rsid w:val="00BC43CD"/>
    <w:rsid w:val="00BC4516"/>
    <w:rsid w:val="00BC5B78"/>
    <w:rsid w:val="00BC63C1"/>
    <w:rsid w:val="00BC66B1"/>
    <w:rsid w:val="00BC6FB5"/>
    <w:rsid w:val="00BC7453"/>
    <w:rsid w:val="00BD04D2"/>
    <w:rsid w:val="00BD09A6"/>
    <w:rsid w:val="00BD2929"/>
    <w:rsid w:val="00BD299C"/>
    <w:rsid w:val="00BD319D"/>
    <w:rsid w:val="00BD33E2"/>
    <w:rsid w:val="00BD3612"/>
    <w:rsid w:val="00BD393C"/>
    <w:rsid w:val="00BD4068"/>
    <w:rsid w:val="00BD4478"/>
    <w:rsid w:val="00BD4494"/>
    <w:rsid w:val="00BD4FE1"/>
    <w:rsid w:val="00BD5C33"/>
    <w:rsid w:val="00BD639B"/>
    <w:rsid w:val="00BD68AC"/>
    <w:rsid w:val="00BD6BF6"/>
    <w:rsid w:val="00BD7E42"/>
    <w:rsid w:val="00BE1634"/>
    <w:rsid w:val="00BE327B"/>
    <w:rsid w:val="00BE335A"/>
    <w:rsid w:val="00BE3EEA"/>
    <w:rsid w:val="00BE444B"/>
    <w:rsid w:val="00BE5369"/>
    <w:rsid w:val="00BE57CE"/>
    <w:rsid w:val="00BE5D41"/>
    <w:rsid w:val="00BE6660"/>
    <w:rsid w:val="00BE68F5"/>
    <w:rsid w:val="00BE761F"/>
    <w:rsid w:val="00BF0F5F"/>
    <w:rsid w:val="00BF1552"/>
    <w:rsid w:val="00BF2295"/>
    <w:rsid w:val="00BF30DD"/>
    <w:rsid w:val="00BF36D2"/>
    <w:rsid w:val="00BF3F08"/>
    <w:rsid w:val="00BF44BF"/>
    <w:rsid w:val="00BF46BA"/>
    <w:rsid w:val="00BF4A00"/>
    <w:rsid w:val="00BF5893"/>
    <w:rsid w:val="00BF6F1A"/>
    <w:rsid w:val="00C00AA9"/>
    <w:rsid w:val="00C00E28"/>
    <w:rsid w:val="00C02279"/>
    <w:rsid w:val="00C044A2"/>
    <w:rsid w:val="00C044C9"/>
    <w:rsid w:val="00C04C77"/>
    <w:rsid w:val="00C050B4"/>
    <w:rsid w:val="00C05901"/>
    <w:rsid w:val="00C100E9"/>
    <w:rsid w:val="00C10A56"/>
    <w:rsid w:val="00C10AEE"/>
    <w:rsid w:val="00C10D0D"/>
    <w:rsid w:val="00C10E0D"/>
    <w:rsid w:val="00C123F9"/>
    <w:rsid w:val="00C13854"/>
    <w:rsid w:val="00C13AD4"/>
    <w:rsid w:val="00C13E2C"/>
    <w:rsid w:val="00C13F87"/>
    <w:rsid w:val="00C14842"/>
    <w:rsid w:val="00C159E9"/>
    <w:rsid w:val="00C160AC"/>
    <w:rsid w:val="00C16741"/>
    <w:rsid w:val="00C16F08"/>
    <w:rsid w:val="00C200B9"/>
    <w:rsid w:val="00C209DA"/>
    <w:rsid w:val="00C2141A"/>
    <w:rsid w:val="00C21CCA"/>
    <w:rsid w:val="00C22777"/>
    <w:rsid w:val="00C22ACD"/>
    <w:rsid w:val="00C2301C"/>
    <w:rsid w:val="00C242A6"/>
    <w:rsid w:val="00C24924"/>
    <w:rsid w:val="00C24F8B"/>
    <w:rsid w:val="00C25533"/>
    <w:rsid w:val="00C255FA"/>
    <w:rsid w:val="00C25C54"/>
    <w:rsid w:val="00C25D47"/>
    <w:rsid w:val="00C25D74"/>
    <w:rsid w:val="00C25FE9"/>
    <w:rsid w:val="00C2656F"/>
    <w:rsid w:val="00C26805"/>
    <w:rsid w:val="00C271ED"/>
    <w:rsid w:val="00C2732B"/>
    <w:rsid w:val="00C27AE3"/>
    <w:rsid w:val="00C27F9D"/>
    <w:rsid w:val="00C300E2"/>
    <w:rsid w:val="00C30C92"/>
    <w:rsid w:val="00C30EF2"/>
    <w:rsid w:val="00C314B3"/>
    <w:rsid w:val="00C3166B"/>
    <w:rsid w:val="00C316E7"/>
    <w:rsid w:val="00C3245C"/>
    <w:rsid w:val="00C32833"/>
    <w:rsid w:val="00C332EA"/>
    <w:rsid w:val="00C34DFD"/>
    <w:rsid w:val="00C353C4"/>
    <w:rsid w:val="00C35B06"/>
    <w:rsid w:val="00C36B1F"/>
    <w:rsid w:val="00C36EF2"/>
    <w:rsid w:val="00C36FAE"/>
    <w:rsid w:val="00C37676"/>
    <w:rsid w:val="00C410EC"/>
    <w:rsid w:val="00C416ED"/>
    <w:rsid w:val="00C41CC4"/>
    <w:rsid w:val="00C42035"/>
    <w:rsid w:val="00C4208B"/>
    <w:rsid w:val="00C423ED"/>
    <w:rsid w:val="00C43275"/>
    <w:rsid w:val="00C446BB"/>
    <w:rsid w:val="00C4471A"/>
    <w:rsid w:val="00C44F7C"/>
    <w:rsid w:val="00C46758"/>
    <w:rsid w:val="00C469A9"/>
    <w:rsid w:val="00C473E4"/>
    <w:rsid w:val="00C4781F"/>
    <w:rsid w:val="00C47BF7"/>
    <w:rsid w:val="00C50381"/>
    <w:rsid w:val="00C50C1A"/>
    <w:rsid w:val="00C51F0D"/>
    <w:rsid w:val="00C540CC"/>
    <w:rsid w:val="00C5447A"/>
    <w:rsid w:val="00C54B8A"/>
    <w:rsid w:val="00C54E36"/>
    <w:rsid w:val="00C55DF3"/>
    <w:rsid w:val="00C57ADB"/>
    <w:rsid w:val="00C6070F"/>
    <w:rsid w:val="00C6183B"/>
    <w:rsid w:val="00C624B8"/>
    <w:rsid w:val="00C62C39"/>
    <w:rsid w:val="00C62DDF"/>
    <w:rsid w:val="00C6470B"/>
    <w:rsid w:val="00C64AE3"/>
    <w:rsid w:val="00C64D37"/>
    <w:rsid w:val="00C654EB"/>
    <w:rsid w:val="00C65968"/>
    <w:rsid w:val="00C6628D"/>
    <w:rsid w:val="00C668E5"/>
    <w:rsid w:val="00C67210"/>
    <w:rsid w:val="00C6783D"/>
    <w:rsid w:val="00C678DC"/>
    <w:rsid w:val="00C67FDC"/>
    <w:rsid w:val="00C70DD3"/>
    <w:rsid w:val="00C717EE"/>
    <w:rsid w:val="00C71867"/>
    <w:rsid w:val="00C727CF"/>
    <w:rsid w:val="00C7326F"/>
    <w:rsid w:val="00C7341A"/>
    <w:rsid w:val="00C73E0F"/>
    <w:rsid w:val="00C74155"/>
    <w:rsid w:val="00C742D0"/>
    <w:rsid w:val="00C74653"/>
    <w:rsid w:val="00C74AAA"/>
    <w:rsid w:val="00C7620C"/>
    <w:rsid w:val="00C76A1D"/>
    <w:rsid w:val="00C76AC8"/>
    <w:rsid w:val="00C77035"/>
    <w:rsid w:val="00C77446"/>
    <w:rsid w:val="00C77752"/>
    <w:rsid w:val="00C7781F"/>
    <w:rsid w:val="00C77A09"/>
    <w:rsid w:val="00C77F0F"/>
    <w:rsid w:val="00C80C16"/>
    <w:rsid w:val="00C8130A"/>
    <w:rsid w:val="00C82732"/>
    <w:rsid w:val="00C83B42"/>
    <w:rsid w:val="00C83C48"/>
    <w:rsid w:val="00C84108"/>
    <w:rsid w:val="00C8638A"/>
    <w:rsid w:val="00C86DC0"/>
    <w:rsid w:val="00C86DED"/>
    <w:rsid w:val="00C87A08"/>
    <w:rsid w:val="00C90F0E"/>
    <w:rsid w:val="00C9140C"/>
    <w:rsid w:val="00C918E6"/>
    <w:rsid w:val="00C91A55"/>
    <w:rsid w:val="00C91C74"/>
    <w:rsid w:val="00C9285A"/>
    <w:rsid w:val="00C92D5F"/>
    <w:rsid w:val="00C9369E"/>
    <w:rsid w:val="00C93FFC"/>
    <w:rsid w:val="00C944B6"/>
    <w:rsid w:val="00C949F0"/>
    <w:rsid w:val="00C957CA"/>
    <w:rsid w:val="00C96312"/>
    <w:rsid w:val="00C968DC"/>
    <w:rsid w:val="00C96AA0"/>
    <w:rsid w:val="00C97282"/>
    <w:rsid w:val="00C9728B"/>
    <w:rsid w:val="00C975D0"/>
    <w:rsid w:val="00C97938"/>
    <w:rsid w:val="00C97F71"/>
    <w:rsid w:val="00CA00FD"/>
    <w:rsid w:val="00CA04D0"/>
    <w:rsid w:val="00CA0A63"/>
    <w:rsid w:val="00CA0E89"/>
    <w:rsid w:val="00CA119C"/>
    <w:rsid w:val="00CA13A0"/>
    <w:rsid w:val="00CA16B9"/>
    <w:rsid w:val="00CA22C0"/>
    <w:rsid w:val="00CA28DC"/>
    <w:rsid w:val="00CA2A23"/>
    <w:rsid w:val="00CA3A01"/>
    <w:rsid w:val="00CA3A1E"/>
    <w:rsid w:val="00CA3F56"/>
    <w:rsid w:val="00CA4702"/>
    <w:rsid w:val="00CA4E2A"/>
    <w:rsid w:val="00CA504A"/>
    <w:rsid w:val="00CA53BD"/>
    <w:rsid w:val="00CA561A"/>
    <w:rsid w:val="00CA58C2"/>
    <w:rsid w:val="00CA5AE1"/>
    <w:rsid w:val="00CA5C3B"/>
    <w:rsid w:val="00CB0491"/>
    <w:rsid w:val="00CB0620"/>
    <w:rsid w:val="00CB06CD"/>
    <w:rsid w:val="00CB0859"/>
    <w:rsid w:val="00CB1D04"/>
    <w:rsid w:val="00CB2071"/>
    <w:rsid w:val="00CB20D3"/>
    <w:rsid w:val="00CB2B8B"/>
    <w:rsid w:val="00CB2DCD"/>
    <w:rsid w:val="00CB31D9"/>
    <w:rsid w:val="00CB40B6"/>
    <w:rsid w:val="00CB4B9B"/>
    <w:rsid w:val="00CB500E"/>
    <w:rsid w:val="00CB5C3A"/>
    <w:rsid w:val="00CB5E54"/>
    <w:rsid w:val="00CB5F55"/>
    <w:rsid w:val="00CB622A"/>
    <w:rsid w:val="00CB715E"/>
    <w:rsid w:val="00CC0142"/>
    <w:rsid w:val="00CC0A2E"/>
    <w:rsid w:val="00CC0ECF"/>
    <w:rsid w:val="00CC13A8"/>
    <w:rsid w:val="00CC149C"/>
    <w:rsid w:val="00CC16FD"/>
    <w:rsid w:val="00CC1897"/>
    <w:rsid w:val="00CC1D55"/>
    <w:rsid w:val="00CC1F07"/>
    <w:rsid w:val="00CC3A04"/>
    <w:rsid w:val="00CC4106"/>
    <w:rsid w:val="00CC4B0F"/>
    <w:rsid w:val="00CC5649"/>
    <w:rsid w:val="00CC5CDC"/>
    <w:rsid w:val="00CC70A6"/>
    <w:rsid w:val="00CC7C92"/>
    <w:rsid w:val="00CC7F50"/>
    <w:rsid w:val="00CD01A6"/>
    <w:rsid w:val="00CD0A7F"/>
    <w:rsid w:val="00CD0DFB"/>
    <w:rsid w:val="00CD2028"/>
    <w:rsid w:val="00CD22A8"/>
    <w:rsid w:val="00CD299F"/>
    <w:rsid w:val="00CD337C"/>
    <w:rsid w:val="00CD426E"/>
    <w:rsid w:val="00CD49E2"/>
    <w:rsid w:val="00CD4ACA"/>
    <w:rsid w:val="00CD4B3A"/>
    <w:rsid w:val="00CD60A7"/>
    <w:rsid w:val="00CD67ED"/>
    <w:rsid w:val="00CD6A94"/>
    <w:rsid w:val="00CD70BD"/>
    <w:rsid w:val="00CD79CD"/>
    <w:rsid w:val="00CE07C5"/>
    <w:rsid w:val="00CE0948"/>
    <w:rsid w:val="00CE0A38"/>
    <w:rsid w:val="00CE0DF2"/>
    <w:rsid w:val="00CE2853"/>
    <w:rsid w:val="00CE2CF0"/>
    <w:rsid w:val="00CE3140"/>
    <w:rsid w:val="00CE3219"/>
    <w:rsid w:val="00CE381D"/>
    <w:rsid w:val="00CE3B89"/>
    <w:rsid w:val="00CE3E35"/>
    <w:rsid w:val="00CE4467"/>
    <w:rsid w:val="00CE46C0"/>
    <w:rsid w:val="00CE4EA0"/>
    <w:rsid w:val="00CE5F82"/>
    <w:rsid w:val="00CE6175"/>
    <w:rsid w:val="00CE7357"/>
    <w:rsid w:val="00CE77B6"/>
    <w:rsid w:val="00CE7B89"/>
    <w:rsid w:val="00CF2063"/>
    <w:rsid w:val="00CF2783"/>
    <w:rsid w:val="00CF28EA"/>
    <w:rsid w:val="00CF3559"/>
    <w:rsid w:val="00CF45AF"/>
    <w:rsid w:val="00CF4CF0"/>
    <w:rsid w:val="00CF5899"/>
    <w:rsid w:val="00CF598E"/>
    <w:rsid w:val="00CF5A94"/>
    <w:rsid w:val="00CF5F49"/>
    <w:rsid w:val="00CF6C60"/>
    <w:rsid w:val="00D000D0"/>
    <w:rsid w:val="00D007C4"/>
    <w:rsid w:val="00D0099C"/>
    <w:rsid w:val="00D014B3"/>
    <w:rsid w:val="00D01F21"/>
    <w:rsid w:val="00D01F71"/>
    <w:rsid w:val="00D03340"/>
    <w:rsid w:val="00D03B43"/>
    <w:rsid w:val="00D03C1F"/>
    <w:rsid w:val="00D04593"/>
    <w:rsid w:val="00D04A2B"/>
    <w:rsid w:val="00D05E76"/>
    <w:rsid w:val="00D05FEC"/>
    <w:rsid w:val="00D06385"/>
    <w:rsid w:val="00D0666E"/>
    <w:rsid w:val="00D07030"/>
    <w:rsid w:val="00D07742"/>
    <w:rsid w:val="00D0783F"/>
    <w:rsid w:val="00D07C2A"/>
    <w:rsid w:val="00D07E88"/>
    <w:rsid w:val="00D10360"/>
    <w:rsid w:val="00D10C49"/>
    <w:rsid w:val="00D11011"/>
    <w:rsid w:val="00D117D0"/>
    <w:rsid w:val="00D11813"/>
    <w:rsid w:val="00D120D6"/>
    <w:rsid w:val="00D12167"/>
    <w:rsid w:val="00D12CC3"/>
    <w:rsid w:val="00D12F10"/>
    <w:rsid w:val="00D13328"/>
    <w:rsid w:val="00D14CB9"/>
    <w:rsid w:val="00D15214"/>
    <w:rsid w:val="00D15C0E"/>
    <w:rsid w:val="00D15D53"/>
    <w:rsid w:val="00D20397"/>
    <w:rsid w:val="00D21299"/>
    <w:rsid w:val="00D21770"/>
    <w:rsid w:val="00D21A64"/>
    <w:rsid w:val="00D21B29"/>
    <w:rsid w:val="00D22085"/>
    <w:rsid w:val="00D23A04"/>
    <w:rsid w:val="00D23D98"/>
    <w:rsid w:val="00D252B4"/>
    <w:rsid w:val="00D2537E"/>
    <w:rsid w:val="00D2596A"/>
    <w:rsid w:val="00D2628E"/>
    <w:rsid w:val="00D2644A"/>
    <w:rsid w:val="00D26B87"/>
    <w:rsid w:val="00D26C7B"/>
    <w:rsid w:val="00D26E46"/>
    <w:rsid w:val="00D30249"/>
    <w:rsid w:val="00D305C7"/>
    <w:rsid w:val="00D30692"/>
    <w:rsid w:val="00D30B0A"/>
    <w:rsid w:val="00D31234"/>
    <w:rsid w:val="00D3211B"/>
    <w:rsid w:val="00D327E3"/>
    <w:rsid w:val="00D330D5"/>
    <w:rsid w:val="00D34671"/>
    <w:rsid w:val="00D34F62"/>
    <w:rsid w:val="00D36478"/>
    <w:rsid w:val="00D36512"/>
    <w:rsid w:val="00D376FE"/>
    <w:rsid w:val="00D3782A"/>
    <w:rsid w:val="00D37CF8"/>
    <w:rsid w:val="00D40029"/>
    <w:rsid w:val="00D406B0"/>
    <w:rsid w:val="00D41559"/>
    <w:rsid w:val="00D41B34"/>
    <w:rsid w:val="00D42197"/>
    <w:rsid w:val="00D433A9"/>
    <w:rsid w:val="00D434A7"/>
    <w:rsid w:val="00D44403"/>
    <w:rsid w:val="00D4543A"/>
    <w:rsid w:val="00D459C8"/>
    <w:rsid w:val="00D46838"/>
    <w:rsid w:val="00D46BB5"/>
    <w:rsid w:val="00D476A0"/>
    <w:rsid w:val="00D47972"/>
    <w:rsid w:val="00D50B50"/>
    <w:rsid w:val="00D50D6D"/>
    <w:rsid w:val="00D5133C"/>
    <w:rsid w:val="00D51DE9"/>
    <w:rsid w:val="00D5248D"/>
    <w:rsid w:val="00D52FA5"/>
    <w:rsid w:val="00D5301A"/>
    <w:rsid w:val="00D53451"/>
    <w:rsid w:val="00D53860"/>
    <w:rsid w:val="00D5468D"/>
    <w:rsid w:val="00D55478"/>
    <w:rsid w:val="00D56B5A"/>
    <w:rsid w:val="00D5713C"/>
    <w:rsid w:val="00D572B8"/>
    <w:rsid w:val="00D6066E"/>
    <w:rsid w:val="00D60CA6"/>
    <w:rsid w:val="00D60F58"/>
    <w:rsid w:val="00D61068"/>
    <w:rsid w:val="00D6137D"/>
    <w:rsid w:val="00D6145A"/>
    <w:rsid w:val="00D61830"/>
    <w:rsid w:val="00D61942"/>
    <w:rsid w:val="00D6443F"/>
    <w:rsid w:val="00D659CD"/>
    <w:rsid w:val="00D65C2A"/>
    <w:rsid w:val="00D66B53"/>
    <w:rsid w:val="00D70ECF"/>
    <w:rsid w:val="00D70FD7"/>
    <w:rsid w:val="00D710F3"/>
    <w:rsid w:val="00D716B6"/>
    <w:rsid w:val="00D71888"/>
    <w:rsid w:val="00D71F11"/>
    <w:rsid w:val="00D72135"/>
    <w:rsid w:val="00D721A7"/>
    <w:rsid w:val="00D7375E"/>
    <w:rsid w:val="00D73AD9"/>
    <w:rsid w:val="00D750BE"/>
    <w:rsid w:val="00D75BEE"/>
    <w:rsid w:val="00D763B6"/>
    <w:rsid w:val="00D765A1"/>
    <w:rsid w:val="00D766E0"/>
    <w:rsid w:val="00D76C0B"/>
    <w:rsid w:val="00D76C22"/>
    <w:rsid w:val="00D76CCB"/>
    <w:rsid w:val="00D76E92"/>
    <w:rsid w:val="00D7752C"/>
    <w:rsid w:val="00D77EDF"/>
    <w:rsid w:val="00D8008D"/>
    <w:rsid w:val="00D80778"/>
    <w:rsid w:val="00D8177F"/>
    <w:rsid w:val="00D82A8C"/>
    <w:rsid w:val="00D82BA4"/>
    <w:rsid w:val="00D82DF2"/>
    <w:rsid w:val="00D82E76"/>
    <w:rsid w:val="00D836BD"/>
    <w:rsid w:val="00D83796"/>
    <w:rsid w:val="00D84BA6"/>
    <w:rsid w:val="00D85E0B"/>
    <w:rsid w:val="00D861D6"/>
    <w:rsid w:val="00D87256"/>
    <w:rsid w:val="00D87B70"/>
    <w:rsid w:val="00D90F50"/>
    <w:rsid w:val="00D9173C"/>
    <w:rsid w:val="00D92126"/>
    <w:rsid w:val="00D931AA"/>
    <w:rsid w:val="00D933C9"/>
    <w:rsid w:val="00D94911"/>
    <w:rsid w:val="00D94B01"/>
    <w:rsid w:val="00D94C31"/>
    <w:rsid w:val="00D94F1E"/>
    <w:rsid w:val="00D94FD3"/>
    <w:rsid w:val="00D95BAB"/>
    <w:rsid w:val="00D9618A"/>
    <w:rsid w:val="00D965F7"/>
    <w:rsid w:val="00D96CB2"/>
    <w:rsid w:val="00D970EC"/>
    <w:rsid w:val="00D973DB"/>
    <w:rsid w:val="00D97692"/>
    <w:rsid w:val="00D97BBE"/>
    <w:rsid w:val="00DA0454"/>
    <w:rsid w:val="00DA0511"/>
    <w:rsid w:val="00DA25B0"/>
    <w:rsid w:val="00DA266A"/>
    <w:rsid w:val="00DA2980"/>
    <w:rsid w:val="00DA3F50"/>
    <w:rsid w:val="00DA44A1"/>
    <w:rsid w:val="00DA500C"/>
    <w:rsid w:val="00DA63AF"/>
    <w:rsid w:val="00DA67EB"/>
    <w:rsid w:val="00DA6F9D"/>
    <w:rsid w:val="00DA7A37"/>
    <w:rsid w:val="00DA7A3B"/>
    <w:rsid w:val="00DA7C22"/>
    <w:rsid w:val="00DB10D4"/>
    <w:rsid w:val="00DB127F"/>
    <w:rsid w:val="00DB1DE4"/>
    <w:rsid w:val="00DB1E21"/>
    <w:rsid w:val="00DB306C"/>
    <w:rsid w:val="00DB3AEA"/>
    <w:rsid w:val="00DB4C31"/>
    <w:rsid w:val="00DB4CA5"/>
    <w:rsid w:val="00DB54CE"/>
    <w:rsid w:val="00DB55D5"/>
    <w:rsid w:val="00DB5751"/>
    <w:rsid w:val="00DB639C"/>
    <w:rsid w:val="00DB63F8"/>
    <w:rsid w:val="00DB6A3C"/>
    <w:rsid w:val="00DB7052"/>
    <w:rsid w:val="00DB7B08"/>
    <w:rsid w:val="00DC0518"/>
    <w:rsid w:val="00DC05AF"/>
    <w:rsid w:val="00DC0947"/>
    <w:rsid w:val="00DC1589"/>
    <w:rsid w:val="00DC201B"/>
    <w:rsid w:val="00DC2AF4"/>
    <w:rsid w:val="00DC3672"/>
    <w:rsid w:val="00DC42D8"/>
    <w:rsid w:val="00DC4464"/>
    <w:rsid w:val="00DC47E4"/>
    <w:rsid w:val="00DC493C"/>
    <w:rsid w:val="00DC5128"/>
    <w:rsid w:val="00DC59BB"/>
    <w:rsid w:val="00DC5FC4"/>
    <w:rsid w:val="00DC6259"/>
    <w:rsid w:val="00DC6C74"/>
    <w:rsid w:val="00DC6CF9"/>
    <w:rsid w:val="00DC71B2"/>
    <w:rsid w:val="00DC7A4A"/>
    <w:rsid w:val="00DC7C6C"/>
    <w:rsid w:val="00DD00C9"/>
    <w:rsid w:val="00DD033F"/>
    <w:rsid w:val="00DD063B"/>
    <w:rsid w:val="00DD07EA"/>
    <w:rsid w:val="00DD0B1A"/>
    <w:rsid w:val="00DD0FE4"/>
    <w:rsid w:val="00DD12EB"/>
    <w:rsid w:val="00DD1563"/>
    <w:rsid w:val="00DD1BF9"/>
    <w:rsid w:val="00DD268D"/>
    <w:rsid w:val="00DD3A2D"/>
    <w:rsid w:val="00DD3F12"/>
    <w:rsid w:val="00DD5CD4"/>
    <w:rsid w:val="00DD6889"/>
    <w:rsid w:val="00DD6EFC"/>
    <w:rsid w:val="00DD6FA6"/>
    <w:rsid w:val="00DD74D9"/>
    <w:rsid w:val="00DD77DF"/>
    <w:rsid w:val="00DD7C33"/>
    <w:rsid w:val="00DE037B"/>
    <w:rsid w:val="00DE099A"/>
    <w:rsid w:val="00DE0E1B"/>
    <w:rsid w:val="00DE133E"/>
    <w:rsid w:val="00DE177E"/>
    <w:rsid w:val="00DE1BDA"/>
    <w:rsid w:val="00DE23C6"/>
    <w:rsid w:val="00DE2B59"/>
    <w:rsid w:val="00DE2BE7"/>
    <w:rsid w:val="00DE2EB9"/>
    <w:rsid w:val="00DE3D6B"/>
    <w:rsid w:val="00DE483E"/>
    <w:rsid w:val="00DE4C39"/>
    <w:rsid w:val="00DE521A"/>
    <w:rsid w:val="00DE5B02"/>
    <w:rsid w:val="00DE6AE4"/>
    <w:rsid w:val="00DE7282"/>
    <w:rsid w:val="00DE7C4E"/>
    <w:rsid w:val="00DF043A"/>
    <w:rsid w:val="00DF0932"/>
    <w:rsid w:val="00DF0FD5"/>
    <w:rsid w:val="00DF1303"/>
    <w:rsid w:val="00DF1E16"/>
    <w:rsid w:val="00DF2FA2"/>
    <w:rsid w:val="00DF31F1"/>
    <w:rsid w:val="00DF387E"/>
    <w:rsid w:val="00DF3D44"/>
    <w:rsid w:val="00DF5200"/>
    <w:rsid w:val="00DF565F"/>
    <w:rsid w:val="00DF5DF9"/>
    <w:rsid w:val="00E012E4"/>
    <w:rsid w:val="00E025AC"/>
    <w:rsid w:val="00E0273D"/>
    <w:rsid w:val="00E02779"/>
    <w:rsid w:val="00E02C04"/>
    <w:rsid w:val="00E02D6B"/>
    <w:rsid w:val="00E0363E"/>
    <w:rsid w:val="00E03CB1"/>
    <w:rsid w:val="00E04655"/>
    <w:rsid w:val="00E04B3E"/>
    <w:rsid w:val="00E052D9"/>
    <w:rsid w:val="00E064E0"/>
    <w:rsid w:val="00E068AE"/>
    <w:rsid w:val="00E075C3"/>
    <w:rsid w:val="00E07D2D"/>
    <w:rsid w:val="00E07E67"/>
    <w:rsid w:val="00E107BD"/>
    <w:rsid w:val="00E111BE"/>
    <w:rsid w:val="00E116F6"/>
    <w:rsid w:val="00E11862"/>
    <w:rsid w:val="00E1224B"/>
    <w:rsid w:val="00E1267A"/>
    <w:rsid w:val="00E13C1A"/>
    <w:rsid w:val="00E146D7"/>
    <w:rsid w:val="00E1482B"/>
    <w:rsid w:val="00E15B46"/>
    <w:rsid w:val="00E15B6A"/>
    <w:rsid w:val="00E15F42"/>
    <w:rsid w:val="00E1672C"/>
    <w:rsid w:val="00E17274"/>
    <w:rsid w:val="00E178C9"/>
    <w:rsid w:val="00E17AD8"/>
    <w:rsid w:val="00E17CBF"/>
    <w:rsid w:val="00E200B4"/>
    <w:rsid w:val="00E20527"/>
    <w:rsid w:val="00E20942"/>
    <w:rsid w:val="00E209ED"/>
    <w:rsid w:val="00E21393"/>
    <w:rsid w:val="00E224F3"/>
    <w:rsid w:val="00E22C2E"/>
    <w:rsid w:val="00E22F75"/>
    <w:rsid w:val="00E23585"/>
    <w:rsid w:val="00E24B1E"/>
    <w:rsid w:val="00E25F1A"/>
    <w:rsid w:val="00E2651F"/>
    <w:rsid w:val="00E26693"/>
    <w:rsid w:val="00E26975"/>
    <w:rsid w:val="00E269ED"/>
    <w:rsid w:val="00E26F7D"/>
    <w:rsid w:val="00E279A7"/>
    <w:rsid w:val="00E306C8"/>
    <w:rsid w:val="00E30A31"/>
    <w:rsid w:val="00E30B13"/>
    <w:rsid w:val="00E3147C"/>
    <w:rsid w:val="00E31522"/>
    <w:rsid w:val="00E31C73"/>
    <w:rsid w:val="00E328B0"/>
    <w:rsid w:val="00E32F52"/>
    <w:rsid w:val="00E332C3"/>
    <w:rsid w:val="00E34126"/>
    <w:rsid w:val="00E35DC0"/>
    <w:rsid w:val="00E35EAB"/>
    <w:rsid w:val="00E365DF"/>
    <w:rsid w:val="00E3723F"/>
    <w:rsid w:val="00E3793A"/>
    <w:rsid w:val="00E40101"/>
    <w:rsid w:val="00E40578"/>
    <w:rsid w:val="00E410A1"/>
    <w:rsid w:val="00E41844"/>
    <w:rsid w:val="00E4272D"/>
    <w:rsid w:val="00E42C94"/>
    <w:rsid w:val="00E435AA"/>
    <w:rsid w:val="00E4363D"/>
    <w:rsid w:val="00E43D9D"/>
    <w:rsid w:val="00E43F12"/>
    <w:rsid w:val="00E44D32"/>
    <w:rsid w:val="00E44F2A"/>
    <w:rsid w:val="00E4513D"/>
    <w:rsid w:val="00E451E7"/>
    <w:rsid w:val="00E45D1F"/>
    <w:rsid w:val="00E46F80"/>
    <w:rsid w:val="00E46F9F"/>
    <w:rsid w:val="00E47E6A"/>
    <w:rsid w:val="00E50945"/>
    <w:rsid w:val="00E51189"/>
    <w:rsid w:val="00E51E15"/>
    <w:rsid w:val="00E52BC6"/>
    <w:rsid w:val="00E52FBC"/>
    <w:rsid w:val="00E530A2"/>
    <w:rsid w:val="00E53354"/>
    <w:rsid w:val="00E53570"/>
    <w:rsid w:val="00E54A16"/>
    <w:rsid w:val="00E5554F"/>
    <w:rsid w:val="00E55AA4"/>
    <w:rsid w:val="00E55B18"/>
    <w:rsid w:val="00E57831"/>
    <w:rsid w:val="00E57A70"/>
    <w:rsid w:val="00E6167D"/>
    <w:rsid w:val="00E61BCE"/>
    <w:rsid w:val="00E61C4E"/>
    <w:rsid w:val="00E62BC0"/>
    <w:rsid w:val="00E63345"/>
    <w:rsid w:val="00E636A2"/>
    <w:rsid w:val="00E6425C"/>
    <w:rsid w:val="00E6434D"/>
    <w:rsid w:val="00E64353"/>
    <w:rsid w:val="00E64AE0"/>
    <w:rsid w:val="00E65051"/>
    <w:rsid w:val="00E65880"/>
    <w:rsid w:val="00E6711D"/>
    <w:rsid w:val="00E6754D"/>
    <w:rsid w:val="00E67742"/>
    <w:rsid w:val="00E67AB7"/>
    <w:rsid w:val="00E67D12"/>
    <w:rsid w:val="00E70814"/>
    <w:rsid w:val="00E71070"/>
    <w:rsid w:val="00E72111"/>
    <w:rsid w:val="00E72B83"/>
    <w:rsid w:val="00E737E5"/>
    <w:rsid w:val="00E74AA8"/>
    <w:rsid w:val="00E74BA3"/>
    <w:rsid w:val="00E74D51"/>
    <w:rsid w:val="00E755BA"/>
    <w:rsid w:val="00E75980"/>
    <w:rsid w:val="00E759D9"/>
    <w:rsid w:val="00E76826"/>
    <w:rsid w:val="00E774DD"/>
    <w:rsid w:val="00E80B2A"/>
    <w:rsid w:val="00E80B34"/>
    <w:rsid w:val="00E8157C"/>
    <w:rsid w:val="00E82616"/>
    <w:rsid w:val="00E82BBF"/>
    <w:rsid w:val="00E82BDD"/>
    <w:rsid w:val="00E83084"/>
    <w:rsid w:val="00E8442B"/>
    <w:rsid w:val="00E84AA4"/>
    <w:rsid w:val="00E84B30"/>
    <w:rsid w:val="00E84DF6"/>
    <w:rsid w:val="00E85254"/>
    <w:rsid w:val="00E852EA"/>
    <w:rsid w:val="00E856EE"/>
    <w:rsid w:val="00E858A1"/>
    <w:rsid w:val="00E8613E"/>
    <w:rsid w:val="00E8771A"/>
    <w:rsid w:val="00E87D58"/>
    <w:rsid w:val="00E90C4E"/>
    <w:rsid w:val="00E90D15"/>
    <w:rsid w:val="00E91477"/>
    <w:rsid w:val="00E91A25"/>
    <w:rsid w:val="00E92862"/>
    <w:rsid w:val="00E92CD0"/>
    <w:rsid w:val="00E92DC4"/>
    <w:rsid w:val="00E9325E"/>
    <w:rsid w:val="00E93E6D"/>
    <w:rsid w:val="00E941CF"/>
    <w:rsid w:val="00E955A3"/>
    <w:rsid w:val="00E95B18"/>
    <w:rsid w:val="00E96BB4"/>
    <w:rsid w:val="00E97B0E"/>
    <w:rsid w:val="00EA0417"/>
    <w:rsid w:val="00EA162C"/>
    <w:rsid w:val="00EA1C84"/>
    <w:rsid w:val="00EA275B"/>
    <w:rsid w:val="00EA36E8"/>
    <w:rsid w:val="00EA3A2F"/>
    <w:rsid w:val="00EA409B"/>
    <w:rsid w:val="00EA5922"/>
    <w:rsid w:val="00EA5BFD"/>
    <w:rsid w:val="00EA5DCD"/>
    <w:rsid w:val="00EA6689"/>
    <w:rsid w:val="00EA6DF4"/>
    <w:rsid w:val="00EA6EF4"/>
    <w:rsid w:val="00EB01EE"/>
    <w:rsid w:val="00EB2EFE"/>
    <w:rsid w:val="00EB39A9"/>
    <w:rsid w:val="00EB3D38"/>
    <w:rsid w:val="00EB43F9"/>
    <w:rsid w:val="00EB4605"/>
    <w:rsid w:val="00EB474C"/>
    <w:rsid w:val="00EB4BD6"/>
    <w:rsid w:val="00EB4D39"/>
    <w:rsid w:val="00EB4EEC"/>
    <w:rsid w:val="00EB55B3"/>
    <w:rsid w:val="00EB672E"/>
    <w:rsid w:val="00EB69E6"/>
    <w:rsid w:val="00EB6C93"/>
    <w:rsid w:val="00EB6D0F"/>
    <w:rsid w:val="00EB6E8B"/>
    <w:rsid w:val="00EB6FDE"/>
    <w:rsid w:val="00EC19FD"/>
    <w:rsid w:val="00EC1A70"/>
    <w:rsid w:val="00EC2326"/>
    <w:rsid w:val="00EC25C3"/>
    <w:rsid w:val="00EC3533"/>
    <w:rsid w:val="00EC4821"/>
    <w:rsid w:val="00EC6106"/>
    <w:rsid w:val="00EC79B0"/>
    <w:rsid w:val="00EC7E2D"/>
    <w:rsid w:val="00ED01FF"/>
    <w:rsid w:val="00ED0568"/>
    <w:rsid w:val="00ED0AEC"/>
    <w:rsid w:val="00ED2424"/>
    <w:rsid w:val="00ED2CB4"/>
    <w:rsid w:val="00ED3701"/>
    <w:rsid w:val="00ED39D6"/>
    <w:rsid w:val="00ED3CF1"/>
    <w:rsid w:val="00ED3E28"/>
    <w:rsid w:val="00ED48E3"/>
    <w:rsid w:val="00ED5391"/>
    <w:rsid w:val="00ED5608"/>
    <w:rsid w:val="00ED5F53"/>
    <w:rsid w:val="00ED61D9"/>
    <w:rsid w:val="00ED67CE"/>
    <w:rsid w:val="00ED6B49"/>
    <w:rsid w:val="00ED7994"/>
    <w:rsid w:val="00EE04BD"/>
    <w:rsid w:val="00EE053C"/>
    <w:rsid w:val="00EE05FF"/>
    <w:rsid w:val="00EE147B"/>
    <w:rsid w:val="00EE1992"/>
    <w:rsid w:val="00EE1E2C"/>
    <w:rsid w:val="00EE2CDB"/>
    <w:rsid w:val="00EE3D71"/>
    <w:rsid w:val="00EE40BD"/>
    <w:rsid w:val="00EE4416"/>
    <w:rsid w:val="00EE6100"/>
    <w:rsid w:val="00EE6881"/>
    <w:rsid w:val="00EE68E1"/>
    <w:rsid w:val="00EE76B1"/>
    <w:rsid w:val="00EE7C47"/>
    <w:rsid w:val="00EF076F"/>
    <w:rsid w:val="00EF07A2"/>
    <w:rsid w:val="00EF0A3F"/>
    <w:rsid w:val="00EF0C46"/>
    <w:rsid w:val="00EF25AB"/>
    <w:rsid w:val="00EF3C2C"/>
    <w:rsid w:val="00EF4581"/>
    <w:rsid w:val="00EF5193"/>
    <w:rsid w:val="00EF5745"/>
    <w:rsid w:val="00EF5C3D"/>
    <w:rsid w:val="00EF6995"/>
    <w:rsid w:val="00EF6D1F"/>
    <w:rsid w:val="00EF6D26"/>
    <w:rsid w:val="00EF7534"/>
    <w:rsid w:val="00F00169"/>
    <w:rsid w:val="00F00673"/>
    <w:rsid w:val="00F00E0E"/>
    <w:rsid w:val="00F03C57"/>
    <w:rsid w:val="00F03EB8"/>
    <w:rsid w:val="00F03EF0"/>
    <w:rsid w:val="00F04C0B"/>
    <w:rsid w:val="00F051DB"/>
    <w:rsid w:val="00F058C8"/>
    <w:rsid w:val="00F05E60"/>
    <w:rsid w:val="00F070DB"/>
    <w:rsid w:val="00F07175"/>
    <w:rsid w:val="00F07424"/>
    <w:rsid w:val="00F0743C"/>
    <w:rsid w:val="00F0791E"/>
    <w:rsid w:val="00F1077A"/>
    <w:rsid w:val="00F115CD"/>
    <w:rsid w:val="00F11BBD"/>
    <w:rsid w:val="00F132B1"/>
    <w:rsid w:val="00F13D09"/>
    <w:rsid w:val="00F1425D"/>
    <w:rsid w:val="00F14625"/>
    <w:rsid w:val="00F147B9"/>
    <w:rsid w:val="00F155C8"/>
    <w:rsid w:val="00F15ADB"/>
    <w:rsid w:val="00F15C0F"/>
    <w:rsid w:val="00F15CF2"/>
    <w:rsid w:val="00F1750F"/>
    <w:rsid w:val="00F21E68"/>
    <w:rsid w:val="00F22093"/>
    <w:rsid w:val="00F224E4"/>
    <w:rsid w:val="00F238DB"/>
    <w:rsid w:val="00F260B4"/>
    <w:rsid w:val="00F26246"/>
    <w:rsid w:val="00F264A6"/>
    <w:rsid w:val="00F26833"/>
    <w:rsid w:val="00F2698D"/>
    <w:rsid w:val="00F26F88"/>
    <w:rsid w:val="00F2759F"/>
    <w:rsid w:val="00F300E8"/>
    <w:rsid w:val="00F32D16"/>
    <w:rsid w:val="00F33387"/>
    <w:rsid w:val="00F33654"/>
    <w:rsid w:val="00F3387B"/>
    <w:rsid w:val="00F33D0E"/>
    <w:rsid w:val="00F34205"/>
    <w:rsid w:val="00F349D4"/>
    <w:rsid w:val="00F35452"/>
    <w:rsid w:val="00F3590E"/>
    <w:rsid w:val="00F361EB"/>
    <w:rsid w:val="00F36645"/>
    <w:rsid w:val="00F375D1"/>
    <w:rsid w:val="00F37C60"/>
    <w:rsid w:val="00F37E16"/>
    <w:rsid w:val="00F400BD"/>
    <w:rsid w:val="00F408CB"/>
    <w:rsid w:val="00F41468"/>
    <w:rsid w:val="00F41610"/>
    <w:rsid w:val="00F41B65"/>
    <w:rsid w:val="00F41ED2"/>
    <w:rsid w:val="00F44A00"/>
    <w:rsid w:val="00F44A6E"/>
    <w:rsid w:val="00F44D2F"/>
    <w:rsid w:val="00F45686"/>
    <w:rsid w:val="00F46766"/>
    <w:rsid w:val="00F4694D"/>
    <w:rsid w:val="00F469DD"/>
    <w:rsid w:val="00F46C77"/>
    <w:rsid w:val="00F473EF"/>
    <w:rsid w:val="00F47640"/>
    <w:rsid w:val="00F51583"/>
    <w:rsid w:val="00F51FA7"/>
    <w:rsid w:val="00F520EE"/>
    <w:rsid w:val="00F524FF"/>
    <w:rsid w:val="00F53B08"/>
    <w:rsid w:val="00F540F8"/>
    <w:rsid w:val="00F547BA"/>
    <w:rsid w:val="00F552DE"/>
    <w:rsid w:val="00F56EC0"/>
    <w:rsid w:val="00F57342"/>
    <w:rsid w:val="00F5763A"/>
    <w:rsid w:val="00F5793A"/>
    <w:rsid w:val="00F57AC4"/>
    <w:rsid w:val="00F57E29"/>
    <w:rsid w:val="00F57F42"/>
    <w:rsid w:val="00F607C9"/>
    <w:rsid w:val="00F61C5E"/>
    <w:rsid w:val="00F61FDB"/>
    <w:rsid w:val="00F62074"/>
    <w:rsid w:val="00F625E8"/>
    <w:rsid w:val="00F63C18"/>
    <w:rsid w:val="00F644F8"/>
    <w:rsid w:val="00F64894"/>
    <w:rsid w:val="00F64964"/>
    <w:rsid w:val="00F64986"/>
    <w:rsid w:val="00F64A0A"/>
    <w:rsid w:val="00F64D06"/>
    <w:rsid w:val="00F651F1"/>
    <w:rsid w:val="00F65638"/>
    <w:rsid w:val="00F6696D"/>
    <w:rsid w:val="00F6725D"/>
    <w:rsid w:val="00F67396"/>
    <w:rsid w:val="00F67B3D"/>
    <w:rsid w:val="00F70C09"/>
    <w:rsid w:val="00F70C37"/>
    <w:rsid w:val="00F70E91"/>
    <w:rsid w:val="00F71418"/>
    <w:rsid w:val="00F717E0"/>
    <w:rsid w:val="00F71AA8"/>
    <w:rsid w:val="00F71BA3"/>
    <w:rsid w:val="00F71C62"/>
    <w:rsid w:val="00F71CE1"/>
    <w:rsid w:val="00F71CED"/>
    <w:rsid w:val="00F73840"/>
    <w:rsid w:val="00F74F91"/>
    <w:rsid w:val="00F75D87"/>
    <w:rsid w:val="00F76518"/>
    <w:rsid w:val="00F76DEF"/>
    <w:rsid w:val="00F773A2"/>
    <w:rsid w:val="00F77500"/>
    <w:rsid w:val="00F7782D"/>
    <w:rsid w:val="00F778EE"/>
    <w:rsid w:val="00F77AB3"/>
    <w:rsid w:val="00F80539"/>
    <w:rsid w:val="00F81099"/>
    <w:rsid w:val="00F826CE"/>
    <w:rsid w:val="00F8340A"/>
    <w:rsid w:val="00F85D69"/>
    <w:rsid w:val="00F872F8"/>
    <w:rsid w:val="00F90C48"/>
    <w:rsid w:val="00F9140C"/>
    <w:rsid w:val="00F916C0"/>
    <w:rsid w:val="00F918DF"/>
    <w:rsid w:val="00F91A4B"/>
    <w:rsid w:val="00F920A7"/>
    <w:rsid w:val="00F92227"/>
    <w:rsid w:val="00F9222A"/>
    <w:rsid w:val="00F922E6"/>
    <w:rsid w:val="00F9236D"/>
    <w:rsid w:val="00F929AA"/>
    <w:rsid w:val="00F9346F"/>
    <w:rsid w:val="00F9415F"/>
    <w:rsid w:val="00F94185"/>
    <w:rsid w:val="00F94729"/>
    <w:rsid w:val="00F95360"/>
    <w:rsid w:val="00F95F75"/>
    <w:rsid w:val="00F961C7"/>
    <w:rsid w:val="00F96399"/>
    <w:rsid w:val="00F97FF2"/>
    <w:rsid w:val="00FA10E6"/>
    <w:rsid w:val="00FA1CE5"/>
    <w:rsid w:val="00FA1F93"/>
    <w:rsid w:val="00FA302E"/>
    <w:rsid w:val="00FA3086"/>
    <w:rsid w:val="00FA3567"/>
    <w:rsid w:val="00FA392B"/>
    <w:rsid w:val="00FA4E4B"/>
    <w:rsid w:val="00FA4F68"/>
    <w:rsid w:val="00FA5090"/>
    <w:rsid w:val="00FA5304"/>
    <w:rsid w:val="00FA5515"/>
    <w:rsid w:val="00FA615E"/>
    <w:rsid w:val="00FA64E5"/>
    <w:rsid w:val="00FA6920"/>
    <w:rsid w:val="00FA6EE9"/>
    <w:rsid w:val="00FA7967"/>
    <w:rsid w:val="00FA7A33"/>
    <w:rsid w:val="00FB0B39"/>
    <w:rsid w:val="00FB21A5"/>
    <w:rsid w:val="00FB2521"/>
    <w:rsid w:val="00FB30F4"/>
    <w:rsid w:val="00FB3A1C"/>
    <w:rsid w:val="00FB48D9"/>
    <w:rsid w:val="00FB588A"/>
    <w:rsid w:val="00FB6D02"/>
    <w:rsid w:val="00FC062C"/>
    <w:rsid w:val="00FC1A02"/>
    <w:rsid w:val="00FC268F"/>
    <w:rsid w:val="00FC27F5"/>
    <w:rsid w:val="00FC30FC"/>
    <w:rsid w:val="00FC3A75"/>
    <w:rsid w:val="00FC3C61"/>
    <w:rsid w:val="00FC3D28"/>
    <w:rsid w:val="00FC4814"/>
    <w:rsid w:val="00FC5C04"/>
    <w:rsid w:val="00FC5E34"/>
    <w:rsid w:val="00FC754C"/>
    <w:rsid w:val="00FC796A"/>
    <w:rsid w:val="00FC7D5B"/>
    <w:rsid w:val="00FC7D6F"/>
    <w:rsid w:val="00FD08B9"/>
    <w:rsid w:val="00FD3DBE"/>
    <w:rsid w:val="00FD3E99"/>
    <w:rsid w:val="00FD40C7"/>
    <w:rsid w:val="00FD445F"/>
    <w:rsid w:val="00FD4D17"/>
    <w:rsid w:val="00FD4EA5"/>
    <w:rsid w:val="00FD53A9"/>
    <w:rsid w:val="00FD5BBD"/>
    <w:rsid w:val="00FD5F67"/>
    <w:rsid w:val="00FD61E5"/>
    <w:rsid w:val="00FD6537"/>
    <w:rsid w:val="00FD667B"/>
    <w:rsid w:val="00FD675F"/>
    <w:rsid w:val="00FD6B9F"/>
    <w:rsid w:val="00FD737D"/>
    <w:rsid w:val="00FE1097"/>
    <w:rsid w:val="00FE2001"/>
    <w:rsid w:val="00FE275D"/>
    <w:rsid w:val="00FE2F32"/>
    <w:rsid w:val="00FE2FD9"/>
    <w:rsid w:val="00FE346F"/>
    <w:rsid w:val="00FE34D8"/>
    <w:rsid w:val="00FE3DDE"/>
    <w:rsid w:val="00FE4041"/>
    <w:rsid w:val="00FE46C7"/>
    <w:rsid w:val="00FE4728"/>
    <w:rsid w:val="00FE479D"/>
    <w:rsid w:val="00FE55C1"/>
    <w:rsid w:val="00FE619D"/>
    <w:rsid w:val="00FE6267"/>
    <w:rsid w:val="00FE7C46"/>
    <w:rsid w:val="00FE7DC9"/>
    <w:rsid w:val="00FF0D3D"/>
    <w:rsid w:val="00FF20D7"/>
    <w:rsid w:val="00FF2C6E"/>
    <w:rsid w:val="00FF464C"/>
    <w:rsid w:val="00FF46C3"/>
    <w:rsid w:val="00FF57CB"/>
    <w:rsid w:val="00FF5B2E"/>
    <w:rsid w:val="00FF621B"/>
    <w:rsid w:val="00FF6778"/>
    <w:rsid w:val="00FF6A32"/>
    <w:rsid w:val="00FF7003"/>
    <w:rsid w:val="00FF7091"/>
    <w:rsid w:val="00FF744F"/>
    <w:rsid w:val="00FF75B6"/>
    <w:rsid w:val="4A60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964" w:after="567" w:line="240" w:lineRule="auto"/>
      <w:jc w:val="center"/>
      <w:outlineLvl w:val="0"/>
    </w:pPr>
    <w:rPr>
      <w:rFonts w:eastAsia="黑体"/>
      <w:bCs/>
      <w:kern w:val="44"/>
      <w:sz w:val="28"/>
      <w:szCs w:val="44"/>
    </w:rPr>
  </w:style>
  <w:style w:type="paragraph" w:styleId="3">
    <w:name w:val="heading 2"/>
    <w:basedOn w:val="1"/>
    <w:next w:val="1"/>
    <w:link w:val="36"/>
    <w:qFormat/>
    <w:uiPriority w:val="9"/>
    <w:pPr>
      <w:keepNext/>
      <w:keepLines/>
      <w:spacing w:line="480" w:lineRule="auto"/>
      <w:jc w:val="center"/>
      <w:outlineLvl w:val="1"/>
    </w:pPr>
    <w:rPr>
      <w:rFonts w:eastAsia="黑体"/>
      <w:bCs/>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semiHidden/>
    <w:qFormat/>
    <w:uiPriority w:val="0"/>
    <w:rPr>
      <w:b/>
      <w:bCs/>
    </w:rPr>
  </w:style>
  <w:style w:type="paragraph" w:styleId="6">
    <w:name w:val="annotation text"/>
    <w:basedOn w:val="1"/>
    <w:semiHidden/>
    <w:qFormat/>
    <w:uiPriority w:val="0"/>
    <w:pPr>
      <w:jc w:val="left"/>
    </w:pPr>
  </w:style>
  <w:style w:type="paragraph" w:styleId="7">
    <w:name w:val="toc 7"/>
    <w:basedOn w:val="1"/>
    <w:next w:val="1"/>
    <w:unhideWhenUsed/>
    <w:qFormat/>
    <w:uiPriority w:val="39"/>
    <w:pPr>
      <w:ind w:left="1260"/>
      <w:jc w:val="left"/>
    </w:pPr>
    <w:rPr>
      <w:rFonts w:asciiTheme="minorHAnsi" w:eastAsiaTheme="minorHAnsi"/>
      <w:sz w:val="18"/>
      <w:szCs w:val="18"/>
    </w:rPr>
  </w:style>
  <w:style w:type="paragraph" w:styleId="8">
    <w:name w:val="Document Map"/>
    <w:basedOn w:val="1"/>
    <w:semiHidden/>
    <w:qFormat/>
    <w:uiPriority w:val="0"/>
    <w:pPr>
      <w:shd w:val="clear" w:color="auto" w:fill="000080"/>
    </w:pPr>
  </w:style>
  <w:style w:type="paragraph" w:styleId="9">
    <w:name w:val="Body Text"/>
    <w:basedOn w:val="1"/>
    <w:link w:val="38"/>
    <w:qFormat/>
    <w:uiPriority w:val="1"/>
    <w:pPr>
      <w:spacing w:before="135" w:line="240" w:lineRule="auto"/>
      <w:ind w:left="120"/>
      <w:jc w:val="left"/>
    </w:pPr>
    <w:rPr>
      <w:rFonts w:ascii="仿宋" w:hAnsi="仿宋" w:eastAsia="仿宋"/>
      <w:kern w:val="0"/>
      <w:sz w:val="24"/>
      <w:szCs w:val="24"/>
      <w:lang w:eastAsia="en-US"/>
    </w:rPr>
  </w:style>
  <w:style w:type="paragraph" w:styleId="10">
    <w:name w:val="toc 5"/>
    <w:basedOn w:val="1"/>
    <w:next w:val="1"/>
    <w:unhideWhenUsed/>
    <w:qFormat/>
    <w:uiPriority w:val="39"/>
    <w:pPr>
      <w:ind w:left="840"/>
      <w:jc w:val="left"/>
    </w:pPr>
    <w:rPr>
      <w:rFonts w:asciiTheme="minorHAnsi" w:eastAsiaTheme="minorHAnsi"/>
      <w:sz w:val="18"/>
      <w:szCs w:val="18"/>
    </w:rPr>
  </w:style>
  <w:style w:type="paragraph" w:styleId="11">
    <w:name w:val="toc 3"/>
    <w:basedOn w:val="1"/>
    <w:next w:val="1"/>
    <w:unhideWhenUsed/>
    <w:qFormat/>
    <w:uiPriority w:val="39"/>
    <w:pPr>
      <w:ind w:left="420"/>
      <w:jc w:val="left"/>
    </w:pPr>
    <w:rPr>
      <w:rFonts w:asciiTheme="minorHAnsi" w:eastAsiaTheme="minorHAnsi"/>
      <w:i/>
      <w:iCs/>
      <w:sz w:val="20"/>
      <w:szCs w:val="20"/>
    </w:rPr>
  </w:style>
  <w:style w:type="paragraph" w:styleId="12">
    <w:name w:val="toc 8"/>
    <w:basedOn w:val="1"/>
    <w:next w:val="1"/>
    <w:unhideWhenUsed/>
    <w:qFormat/>
    <w:uiPriority w:val="39"/>
    <w:pPr>
      <w:ind w:left="1470"/>
      <w:jc w:val="left"/>
    </w:pPr>
    <w:rPr>
      <w:rFonts w:asciiTheme="minorHAnsi" w:eastAsiaTheme="minorHAnsi"/>
      <w:sz w:val="18"/>
      <w:szCs w:val="18"/>
    </w:rPr>
  </w:style>
  <w:style w:type="paragraph" w:styleId="13">
    <w:name w:val="Date"/>
    <w:basedOn w:val="1"/>
    <w:next w:val="1"/>
    <w:link w:val="37"/>
    <w:semiHidden/>
    <w:unhideWhenUsed/>
    <w:qFormat/>
    <w:uiPriority w:val="99"/>
    <w:pPr>
      <w:ind w:left="100" w:leftChars="2500"/>
    </w:pPr>
  </w:style>
  <w:style w:type="paragraph" w:styleId="14">
    <w:name w:val="Balloon Text"/>
    <w:basedOn w:val="1"/>
    <w:link w:val="34"/>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jc w:val="left"/>
    </w:pPr>
    <w:rPr>
      <w:rFonts w:eastAsia="Times New Roman" w:asciiTheme="minorHAnsi"/>
      <w:bCs/>
      <w:szCs w:val="20"/>
    </w:rPr>
  </w:style>
  <w:style w:type="paragraph" w:styleId="18">
    <w:name w:val="toc 4"/>
    <w:basedOn w:val="1"/>
    <w:next w:val="1"/>
    <w:unhideWhenUsed/>
    <w:qFormat/>
    <w:uiPriority w:val="39"/>
    <w:pPr>
      <w:ind w:left="630"/>
      <w:jc w:val="left"/>
    </w:pPr>
    <w:rPr>
      <w:rFonts w:asciiTheme="minorHAnsi" w:eastAsiaTheme="minorHAnsi"/>
      <w:sz w:val="18"/>
      <w:szCs w:val="18"/>
    </w:rPr>
  </w:style>
  <w:style w:type="paragraph" w:styleId="19">
    <w:name w:val="toc 6"/>
    <w:basedOn w:val="1"/>
    <w:next w:val="1"/>
    <w:unhideWhenUsed/>
    <w:qFormat/>
    <w:uiPriority w:val="39"/>
    <w:pPr>
      <w:ind w:left="1050"/>
      <w:jc w:val="left"/>
    </w:pPr>
    <w:rPr>
      <w:rFonts w:asciiTheme="minorHAnsi" w:eastAsiaTheme="minorHAnsi"/>
      <w:sz w:val="18"/>
      <w:szCs w:val="18"/>
    </w:rPr>
  </w:style>
  <w:style w:type="paragraph" w:styleId="20">
    <w:name w:val="toc 2"/>
    <w:basedOn w:val="1"/>
    <w:next w:val="1"/>
    <w:unhideWhenUsed/>
    <w:qFormat/>
    <w:uiPriority w:val="39"/>
    <w:pPr>
      <w:ind w:left="210"/>
      <w:jc w:val="left"/>
    </w:pPr>
    <w:rPr>
      <w:rFonts w:eastAsia="Times New Roman" w:asciiTheme="minorHAnsi"/>
      <w:sz w:val="15"/>
      <w:szCs w:val="20"/>
    </w:rPr>
  </w:style>
  <w:style w:type="paragraph" w:styleId="21">
    <w:name w:val="toc 9"/>
    <w:basedOn w:val="1"/>
    <w:next w:val="1"/>
    <w:unhideWhenUsed/>
    <w:qFormat/>
    <w:uiPriority w:val="39"/>
    <w:pPr>
      <w:ind w:left="1680"/>
      <w:jc w:val="left"/>
    </w:pPr>
    <w:rPr>
      <w:rFonts w:asciiTheme="minorHAnsi" w:eastAsiaTheme="minorHAnsi"/>
      <w:sz w:val="18"/>
      <w:szCs w:val="18"/>
    </w:rPr>
  </w:style>
  <w:style w:type="character" w:styleId="23">
    <w:name w:val="Emphasis"/>
    <w:basedOn w:val="22"/>
    <w:qFormat/>
    <w:uiPriority w:val="20"/>
    <w:rPr>
      <w:i/>
      <w:iCs/>
    </w:rPr>
  </w:style>
  <w:style w:type="character" w:styleId="24">
    <w:name w:val="Hyperlink"/>
    <w:unhideWhenUsed/>
    <w:qFormat/>
    <w:uiPriority w:val="99"/>
    <w:rPr>
      <w:color w:val="0563C1"/>
      <w:u w:val="single"/>
    </w:rPr>
  </w:style>
  <w:style w:type="character" w:styleId="25">
    <w:name w:val="annotation reference"/>
    <w:semiHidden/>
    <w:qFormat/>
    <w:uiPriority w:val="0"/>
    <w:rPr>
      <w:sz w:val="21"/>
      <w:szCs w:val="21"/>
    </w:rPr>
  </w:style>
  <w:style w:type="table" w:styleId="27">
    <w:name w:val="Table Grid"/>
    <w:basedOn w:val="2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
    <w:name w:val="封面标准英文名称"/>
    <w:basedOn w:val="28"/>
    <w:uiPriority w:val="0"/>
    <w:pPr>
      <w:framePr/>
      <w:spacing w:before="370" w:line="400" w:lineRule="exact"/>
    </w:pPr>
    <w:rPr>
      <w:rFonts w:ascii="Times New Roman"/>
      <w:sz w:val="28"/>
      <w:szCs w:val="28"/>
    </w:rPr>
  </w:style>
  <w:style w:type="paragraph" w:customStyle="1" w:styleId="30">
    <w:name w:val="封面标准文稿类别"/>
    <w:basedOn w:val="1"/>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31">
    <w:name w:val="封面标准文稿编辑信息"/>
    <w:basedOn w:val="30"/>
    <w:uiPriority w:val="0"/>
    <w:pPr>
      <w:framePr/>
      <w:spacing w:before="180" w:line="180" w:lineRule="exact"/>
    </w:pPr>
    <w:rPr>
      <w:sz w:val="21"/>
    </w:rPr>
  </w:style>
  <w:style w:type="character" w:customStyle="1" w:styleId="32">
    <w:name w:val="页眉 字符"/>
    <w:link w:val="16"/>
    <w:uiPriority w:val="99"/>
    <w:rPr>
      <w:kern w:val="2"/>
      <w:sz w:val="18"/>
      <w:szCs w:val="18"/>
    </w:rPr>
  </w:style>
  <w:style w:type="character" w:customStyle="1" w:styleId="33">
    <w:name w:val="页脚 字符"/>
    <w:link w:val="15"/>
    <w:qFormat/>
    <w:uiPriority w:val="99"/>
    <w:rPr>
      <w:kern w:val="2"/>
      <w:sz w:val="18"/>
      <w:szCs w:val="18"/>
    </w:rPr>
  </w:style>
  <w:style w:type="character" w:customStyle="1" w:styleId="34">
    <w:name w:val="批注框文本 字符"/>
    <w:link w:val="14"/>
    <w:semiHidden/>
    <w:qFormat/>
    <w:uiPriority w:val="99"/>
    <w:rPr>
      <w:kern w:val="2"/>
      <w:sz w:val="18"/>
      <w:szCs w:val="18"/>
    </w:rPr>
  </w:style>
  <w:style w:type="character" w:customStyle="1" w:styleId="35">
    <w:name w:val="标题 1 字符"/>
    <w:link w:val="2"/>
    <w:qFormat/>
    <w:uiPriority w:val="9"/>
    <w:rPr>
      <w:rFonts w:ascii="Times New Roman" w:hAnsi="Times New Roman" w:eastAsia="黑体"/>
      <w:bCs/>
      <w:kern w:val="44"/>
      <w:sz w:val="28"/>
      <w:szCs w:val="44"/>
    </w:rPr>
  </w:style>
  <w:style w:type="character" w:customStyle="1" w:styleId="36">
    <w:name w:val="标题 2 字符"/>
    <w:link w:val="3"/>
    <w:qFormat/>
    <w:uiPriority w:val="9"/>
    <w:rPr>
      <w:rFonts w:ascii="Times New Roman" w:hAnsi="Times New Roman" w:eastAsia="黑体"/>
      <w:bCs/>
      <w:kern w:val="2"/>
      <w:sz w:val="21"/>
      <w:szCs w:val="32"/>
    </w:rPr>
  </w:style>
  <w:style w:type="character" w:customStyle="1" w:styleId="37">
    <w:name w:val="日期 字符"/>
    <w:link w:val="13"/>
    <w:semiHidden/>
    <w:qFormat/>
    <w:uiPriority w:val="99"/>
    <w:rPr>
      <w:rFonts w:ascii="Times New Roman" w:hAnsi="Times New Roman" w:eastAsia="宋体"/>
      <w:kern w:val="2"/>
      <w:sz w:val="21"/>
      <w:szCs w:val="22"/>
    </w:rPr>
  </w:style>
  <w:style w:type="character" w:customStyle="1" w:styleId="38">
    <w:name w:val="正文文本 字符"/>
    <w:link w:val="9"/>
    <w:qFormat/>
    <w:uiPriority w:val="1"/>
    <w:rPr>
      <w:rFonts w:ascii="仿宋" w:hAnsi="仿宋" w:eastAsia="仿宋"/>
      <w:sz w:val="24"/>
      <w:szCs w:val="24"/>
      <w:lang w:eastAsia="en-US"/>
    </w:rPr>
  </w:style>
  <w:style w:type="table" w:customStyle="1" w:styleId="39">
    <w:name w:val="Table Normal"/>
    <w:unhideWhenUsed/>
    <w:qFormat/>
    <w:uiPriority w:val="2"/>
    <w:pPr>
      <w:widowControl w:val="0"/>
    </w:pPr>
    <w:rPr>
      <w:rFonts w:ascii="Calibri" w:hAnsi="Calibri" w:eastAsia="宋体"/>
      <w:sz w:val="22"/>
      <w:lang w:eastAsia="en-US"/>
    </w:rPr>
    <w:tblPr>
      <w:tblLayout w:type="fixed"/>
      <w:tblCellMar>
        <w:top w:w="0" w:type="dxa"/>
        <w:left w:w="0" w:type="dxa"/>
        <w:bottom w:w="0" w:type="dxa"/>
        <w:right w:w="0" w:type="dxa"/>
      </w:tblCellMar>
    </w:tblPr>
  </w:style>
  <w:style w:type="paragraph" w:customStyle="1" w:styleId="40">
    <w:name w:val="Table Paragraph"/>
    <w:basedOn w:val="1"/>
    <w:qFormat/>
    <w:uiPriority w:val="1"/>
    <w:pPr>
      <w:spacing w:line="240" w:lineRule="auto"/>
      <w:jc w:val="left"/>
    </w:pPr>
    <w:rPr>
      <w:rFonts w:ascii="Calibri" w:hAnsi="Calibri"/>
      <w:kern w:val="0"/>
      <w:sz w:val="22"/>
      <w:lang w:eastAsia="en-US"/>
    </w:rPr>
  </w:style>
  <w:style w:type="paragraph" w:customStyle="1" w:styleId="41">
    <w:name w:val="MSG_EN_FONT_STYLE_NAME_TEMPLATE_ROLE_NUMBER MSG_EN_FONT_STYLE_NAME_BY_ROLE_TEXT 2"/>
    <w:basedOn w:val="1"/>
    <w:link w:val="42"/>
    <w:unhideWhenUsed/>
    <w:qFormat/>
    <w:uiPriority w:val="99"/>
    <w:pPr>
      <w:shd w:val="clear" w:color="auto" w:fill="FFFFFF"/>
      <w:spacing w:before="540" w:line="437" w:lineRule="exact"/>
      <w:ind w:hanging="380"/>
      <w:jc w:val="distribute"/>
    </w:pPr>
    <w:rPr>
      <w:rFonts w:ascii="PMingLiU" w:hAnsi="PMingLiU" w:eastAsia="PMingLiU"/>
      <w:sz w:val="24"/>
    </w:rPr>
  </w:style>
  <w:style w:type="character" w:customStyle="1" w:styleId="42">
    <w:name w:val="MSG_EN_FONT_STYLE_NAME_TEMPLATE_ROLE_NUMBER MSG_EN_FONT_STYLE_NAME_BY_ROLE_TEXT 2_"/>
    <w:link w:val="41"/>
    <w:unhideWhenUsed/>
    <w:qFormat/>
    <w:uiPriority w:val="99"/>
    <w:rPr>
      <w:rFonts w:ascii="PMingLiU" w:hAnsi="PMingLiU" w:eastAsia="PMingLiU"/>
      <w:kern w:val="2"/>
      <w:sz w:val="24"/>
      <w:szCs w:val="22"/>
      <w:shd w:val="clear" w:color="auto" w:fill="FFFFFF"/>
    </w:rPr>
  </w:style>
  <w:style w:type="character" w:customStyle="1" w:styleId="43">
    <w:name w:val="MSG_EN_FONT_STYLE_NAME_TEMPLATE_ROLE_NUMBER MSG_EN_FONT_STYLE_NAME_BY_ROLE_TEXT 8 + MSG_EN_FONT_STYLE_MODIFER_SPACING 1"/>
    <w:unhideWhenUsed/>
    <w:qFormat/>
    <w:uiPriority w:val="99"/>
    <w:rPr>
      <w:rFonts w:hint="eastAsia" w:ascii="PMingLiU" w:hAnsi="PMingLiU" w:eastAsia="PMingLiU"/>
      <w:spacing w:val="30"/>
      <w:sz w:val="24"/>
    </w:rPr>
  </w:style>
  <w:style w:type="paragraph" w:customStyle="1" w:styleId="44">
    <w:name w:val="报告正文"/>
    <w:basedOn w:val="1"/>
    <w:qFormat/>
    <w:uiPriority w:val="0"/>
    <w:pPr>
      <w:snapToGrid w:val="0"/>
      <w:spacing w:line="400" w:lineRule="exact"/>
      <w:ind w:firstLine="482"/>
    </w:pPr>
    <w:rPr>
      <w:sz w:val="24"/>
      <w:szCs w:val="20"/>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6">
    <w:name w:val="更改"/>
    <w:basedOn w:val="1"/>
    <w:next w:val="1"/>
    <w:link w:val="48"/>
    <w:qFormat/>
    <w:uiPriority w:val="0"/>
    <w:rPr>
      <w:rFonts w:eastAsia="黑体"/>
      <w:color w:val="000000"/>
    </w:rPr>
  </w:style>
  <w:style w:type="character" w:customStyle="1" w:styleId="47">
    <w:name w:val="标题 3 字符"/>
    <w:link w:val="4"/>
    <w:qFormat/>
    <w:uiPriority w:val="9"/>
    <w:rPr>
      <w:rFonts w:ascii="Times New Roman" w:hAnsi="Times New Roman" w:eastAsia="宋体"/>
      <w:b/>
      <w:bCs/>
      <w:kern w:val="2"/>
      <w:sz w:val="32"/>
      <w:szCs w:val="32"/>
    </w:rPr>
  </w:style>
  <w:style w:type="character" w:customStyle="1" w:styleId="48">
    <w:name w:val="更改 字符"/>
    <w:link w:val="46"/>
    <w:qFormat/>
    <w:uiPriority w:val="0"/>
    <w:rPr>
      <w:rFonts w:ascii="Times New Roman" w:hAnsi="Times New Roman" w:eastAsia="黑体"/>
      <w:color w:val="000000"/>
      <w:kern w:val="2"/>
      <w:sz w:val="21"/>
      <w:szCs w:val="22"/>
    </w:rPr>
  </w:style>
  <w:style w:type="character" w:customStyle="1" w:styleId="49">
    <w:name w:val="标题 3 Char"/>
    <w:qFormat/>
    <w:uiPriority w:val="0"/>
    <w:rPr>
      <w:rFonts w:ascii="Times New Roman" w:hAnsi="Times New Roman" w:eastAsia="等线" w:cs="Times New Roman"/>
      <w:b/>
      <w:bCs/>
      <w:kern w:val="2"/>
      <w:sz w:val="32"/>
      <w:szCs w:val="32"/>
    </w:rPr>
  </w:style>
  <w:style w:type="character" w:styleId="50">
    <w:name w:val="Placeholder Text"/>
    <w:basedOn w:val="22"/>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72D26-4C9B-43E3-B84E-62C1F4E68905}">
  <ds:schemaRefs/>
</ds:datastoreItem>
</file>

<file path=docProps/app.xml><?xml version="1.0" encoding="utf-8"?>
<Properties xmlns="http://schemas.openxmlformats.org/officeDocument/2006/extended-properties" xmlns:vt="http://schemas.openxmlformats.org/officeDocument/2006/docPropsVTypes">
  <Template>Normal</Template>
  <Pages>78</Pages>
  <Words>5288</Words>
  <Characters>30144</Characters>
  <Lines>251</Lines>
  <Paragraphs>70</Paragraphs>
  <TotalTime>3542</TotalTime>
  <ScaleCrop>false</ScaleCrop>
  <LinksUpToDate>false</LinksUpToDate>
  <CharactersWithSpaces>35362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2019-04-22T08:58:00Z</dcterms:created>
  <dc:creator>匡妍艺</dc:creator>
  <cp:lastModifiedBy>江泽涛</cp:lastModifiedBy>
  <cp:lastPrinted>2019-08-19T03:14:00Z</cp:lastPrinted>
  <dcterms:modified xsi:type="dcterms:W3CDTF">2020-01-03T09:25:34Z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2052-10.8.2.7027</vt:lpwstr>
  </property>
</Properties>
</file>