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FE" w:rsidRDefault="00AD23FE">
      <w:pPr>
        <w:spacing w:line="640" w:lineRule="exact"/>
        <w:jc w:val="center"/>
        <w:rPr>
          <w:rFonts w:ascii="仿宋_GB2312" w:eastAsia="仿宋_GB2312" w:hAnsi="Times New Roman"/>
          <w:b/>
          <w:sz w:val="52"/>
          <w:szCs w:val="48"/>
        </w:rPr>
      </w:pPr>
      <w:bookmarkStart w:id="0" w:name="_GoBack"/>
      <w:bookmarkEnd w:id="0"/>
    </w:p>
    <w:p w:rsidR="00AD23FE" w:rsidRDefault="00AD23FE">
      <w:pPr>
        <w:spacing w:line="640" w:lineRule="exact"/>
        <w:jc w:val="center"/>
        <w:rPr>
          <w:rFonts w:ascii="仿宋_GB2312" w:eastAsia="仿宋_GB2312" w:hAnsi="Times New Roman"/>
          <w:b/>
          <w:sz w:val="52"/>
          <w:szCs w:val="48"/>
        </w:rPr>
      </w:pPr>
    </w:p>
    <w:p w:rsidR="00AD23FE" w:rsidRDefault="00AD23FE">
      <w:pPr>
        <w:spacing w:line="640" w:lineRule="exact"/>
        <w:jc w:val="center"/>
        <w:rPr>
          <w:rFonts w:ascii="仿宋_GB2312" w:eastAsia="仿宋_GB2312" w:hAnsi="Times New Roman"/>
          <w:b/>
          <w:sz w:val="52"/>
          <w:szCs w:val="48"/>
        </w:rPr>
      </w:pPr>
    </w:p>
    <w:p w:rsidR="00AD23FE" w:rsidRPr="00EC1A06" w:rsidRDefault="009F0AF8" w:rsidP="00EC1A06">
      <w:pPr>
        <w:spacing w:line="6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EC1A06">
        <w:rPr>
          <w:rFonts w:ascii="方正小标宋简体" w:eastAsia="方正小标宋简体" w:hAnsi="Times New Roman" w:hint="eastAsia"/>
          <w:sz w:val="44"/>
          <w:szCs w:val="44"/>
        </w:rPr>
        <w:t>天津市绿色建筑奖励资金管理办法（暂行）</w:t>
      </w:r>
    </w:p>
    <w:p w:rsidR="00AD23FE" w:rsidRDefault="009F0AF8">
      <w:pPr>
        <w:spacing w:line="640" w:lineRule="exact"/>
        <w:jc w:val="center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（征求意见稿）</w:t>
      </w:r>
    </w:p>
    <w:p w:rsidR="00AD23FE" w:rsidRDefault="00AD23FE">
      <w:pPr>
        <w:spacing w:line="640" w:lineRule="exact"/>
        <w:jc w:val="center"/>
        <w:rPr>
          <w:rFonts w:ascii="仿宋_GB2312" w:eastAsia="仿宋_GB2312" w:hAnsi="Times New Roman"/>
          <w:sz w:val="32"/>
          <w:szCs w:val="30"/>
        </w:rPr>
      </w:pPr>
    </w:p>
    <w:p w:rsidR="00AD23FE" w:rsidRDefault="009F0AF8">
      <w:pPr>
        <w:spacing w:line="640" w:lineRule="exact"/>
        <w:ind w:firstLineChars="200" w:firstLine="643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 xml:space="preserve">第一条【编制依据】 </w:t>
      </w:r>
      <w:r>
        <w:rPr>
          <w:rFonts w:ascii="仿宋_GB2312" w:eastAsia="仿宋_GB2312" w:hAnsi="Times New Roman" w:hint="eastAsia"/>
          <w:sz w:val="32"/>
          <w:szCs w:val="30"/>
        </w:rPr>
        <w:t>为进一步完善我市绿色建筑激励机制，促进绿色建筑健康发展，按照《天津市建筑节约能源条例》有关规定，结合我市实际，制定本办法。</w:t>
      </w:r>
    </w:p>
    <w:p w:rsidR="00AD23FE" w:rsidRDefault="009F0AF8">
      <w:pPr>
        <w:spacing w:line="640" w:lineRule="exact"/>
        <w:ind w:firstLineChars="200" w:firstLine="643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 xml:space="preserve">第二条【实施原则】 </w:t>
      </w:r>
      <w:r>
        <w:rPr>
          <w:rFonts w:ascii="仿宋_GB2312" w:eastAsia="仿宋_GB2312" w:hAnsi="Times New Roman" w:hint="eastAsia"/>
          <w:sz w:val="32"/>
          <w:szCs w:val="30"/>
        </w:rPr>
        <w:t>奖励资金的使用和管理按照程序规范、公开透明的原则实施，接受社会各界的监督。</w:t>
      </w:r>
    </w:p>
    <w:p w:rsidR="00AD23FE" w:rsidRDefault="009F0AF8">
      <w:pPr>
        <w:ind w:firstLineChars="195" w:firstLine="626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 xml:space="preserve">第三条 【职责分工】 </w:t>
      </w:r>
      <w:r>
        <w:rPr>
          <w:rFonts w:ascii="仿宋_GB2312" w:eastAsia="仿宋_GB2312" w:hAnsi="Times New Roman" w:hint="eastAsia"/>
          <w:sz w:val="32"/>
          <w:szCs w:val="30"/>
        </w:rPr>
        <w:t>市建设行政主管部门负责组织项目评审、下达奖励资金计划。</w:t>
      </w:r>
    </w:p>
    <w:p w:rsidR="00AD23FE" w:rsidRPr="00EC1A06" w:rsidRDefault="009F0AF8">
      <w:pPr>
        <w:ind w:firstLineChars="195" w:firstLine="624"/>
        <w:rPr>
          <w:rFonts w:ascii="仿宋_GB2312" w:eastAsia="仿宋_GB2312" w:hAnsi="Times New Roman"/>
          <w:sz w:val="32"/>
          <w:szCs w:val="30"/>
        </w:rPr>
      </w:pPr>
      <w:r w:rsidRPr="00EC1A06">
        <w:rPr>
          <w:rFonts w:ascii="仿宋_GB2312" w:eastAsia="仿宋_GB2312" w:hAnsi="Times New Roman" w:hint="eastAsia"/>
          <w:sz w:val="32"/>
          <w:szCs w:val="30"/>
        </w:rPr>
        <w:t>市财政主管部门负责奖励资金的预算编制。</w:t>
      </w:r>
    </w:p>
    <w:p w:rsidR="00AD23FE" w:rsidRDefault="00330116">
      <w:pPr>
        <w:ind w:firstLineChars="195" w:firstLine="624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市</w:t>
      </w:r>
      <w:r w:rsidR="009F0AF8">
        <w:rPr>
          <w:rFonts w:ascii="仿宋_GB2312" w:eastAsia="仿宋_GB2312" w:hAnsi="Times New Roman" w:hint="eastAsia"/>
          <w:sz w:val="32"/>
          <w:szCs w:val="30"/>
        </w:rPr>
        <w:t>绿色建筑促进发展中心负责资金奖励具体工作。</w:t>
      </w:r>
    </w:p>
    <w:p w:rsidR="00AD23FE" w:rsidRDefault="009F0AF8">
      <w:pPr>
        <w:ind w:firstLineChars="195" w:firstLine="624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Times New Roman" w:hint="eastAsia"/>
          <w:sz w:val="32"/>
          <w:szCs w:val="30"/>
        </w:rPr>
        <w:t>区建设行政主管部门负责辖区内示范项目的初审和日常实施监督。</w:t>
      </w:r>
    </w:p>
    <w:p w:rsidR="00AD23FE" w:rsidRDefault="009F0AF8">
      <w:pPr>
        <w:ind w:firstLineChars="195" w:firstLine="626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 xml:space="preserve">第四条【项目条件】 </w:t>
      </w:r>
      <w:r>
        <w:rPr>
          <w:rFonts w:ascii="仿宋_GB2312" w:eastAsia="仿宋_GB2312" w:hAnsi="Times New Roman" w:hint="eastAsia"/>
          <w:sz w:val="32"/>
          <w:szCs w:val="30"/>
        </w:rPr>
        <w:t>申请奖励资金的项目应具备下列条件：</w:t>
      </w:r>
    </w:p>
    <w:p w:rsidR="00AD23FE" w:rsidRDefault="009F0AF8">
      <w:pPr>
        <w:numPr>
          <w:ilvl w:val="0"/>
          <w:numId w:val="1"/>
        </w:numPr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获得二星级</w:t>
      </w:r>
      <w:r>
        <w:rPr>
          <w:rFonts w:ascii="仿宋_GB2312" w:eastAsia="仿宋_GB2312" w:hAnsi="Times New Roman"/>
          <w:sz w:val="32"/>
          <w:szCs w:val="30"/>
        </w:rPr>
        <w:t>及以上</w:t>
      </w:r>
      <w:r>
        <w:rPr>
          <w:rFonts w:ascii="仿宋_GB2312" w:eastAsia="仿宋_GB2312" w:hAnsi="Times New Roman" w:hint="eastAsia"/>
          <w:sz w:val="32"/>
          <w:szCs w:val="30"/>
        </w:rPr>
        <w:t>绿色建筑运行标识项目。</w:t>
      </w:r>
    </w:p>
    <w:p w:rsidR="00AD23FE" w:rsidRDefault="009F0AF8">
      <w:pPr>
        <w:ind w:firstLineChars="195" w:firstLine="624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（二）被动式超低能耗建筑示范项目。</w:t>
      </w:r>
    </w:p>
    <w:p w:rsidR="00AD23FE" w:rsidRDefault="009F0AF8">
      <w:pPr>
        <w:ind w:firstLineChars="195" w:firstLine="624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（三）可再生能源提供的空调用冷量和热量比例大于</w:t>
      </w:r>
      <w:r>
        <w:rPr>
          <w:rFonts w:ascii="仿宋_GB2312" w:eastAsia="仿宋_GB2312" w:hAnsi="Times New Roman" w:hint="eastAsia"/>
          <w:sz w:val="32"/>
          <w:szCs w:val="30"/>
        </w:rPr>
        <w:lastRenderedPageBreak/>
        <w:t>80%的，提供的电量比例大于</w:t>
      </w:r>
      <w:r>
        <w:rPr>
          <w:rFonts w:ascii="仿宋_GB2312" w:eastAsia="仿宋_GB2312" w:hAnsi="Times New Roman"/>
          <w:sz w:val="32"/>
          <w:szCs w:val="30"/>
        </w:rPr>
        <w:t>2</w:t>
      </w:r>
      <w:r>
        <w:rPr>
          <w:rFonts w:ascii="仿宋_GB2312" w:eastAsia="仿宋_GB2312" w:hAnsi="Times New Roman" w:hint="eastAsia"/>
          <w:sz w:val="32"/>
          <w:szCs w:val="30"/>
        </w:rPr>
        <w:t>%的，</w:t>
      </w:r>
      <w:r>
        <w:rPr>
          <w:rFonts w:ascii="仿宋_GB2312" w:eastAsia="仿宋_GB2312" w:hAnsi="Times New Roman"/>
          <w:sz w:val="32"/>
          <w:szCs w:val="30"/>
        </w:rPr>
        <w:t>提供的生活热水比例大于</w:t>
      </w:r>
      <w:r>
        <w:rPr>
          <w:rFonts w:ascii="仿宋_GB2312" w:eastAsia="仿宋_GB2312" w:hAnsi="Times New Roman" w:hint="eastAsia"/>
          <w:sz w:val="32"/>
          <w:szCs w:val="30"/>
        </w:rPr>
        <w:t>80</w:t>
      </w:r>
      <w:r>
        <w:rPr>
          <w:rFonts w:ascii="仿宋_GB2312" w:eastAsia="仿宋_GB2312" w:hAnsi="Times New Roman"/>
          <w:sz w:val="32"/>
          <w:szCs w:val="30"/>
        </w:rPr>
        <w:t>%</w:t>
      </w:r>
      <w:r>
        <w:rPr>
          <w:rFonts w:ascii="仿宋_GB2312" w:eastAsia="仿宋_GB2312" w:hAnsi="Times New Roman" w:hint="eastAsia"/>
          <w:sz w:val="32"/>
          <w:szCs w:val="30"/>
        </w:rPr>
        <w:t>的可再生能源建筑示范项目。</w:t>
      </w:r>
    </w:p>
    <w:p w:rsidR="00AD23FE" w:rsidRDefault="009F0AF8">
      <w:pPr>
        <w:ind w:firstLineChars="195" w:firstLine="624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（四）钢筋混凝土结构单体建筑预制装配率不低于50%，钢结构单体建筑预制装配率不低于70%的装配式建筑示范项目。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（五）符合以下条件的绿色生态城区项目：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1、</w:t>
      </w:r>
      <w:r>
        <w:rPr>
          <w:rFonts w:ascii="仿宋_GB2312" w:eastAsia="仿宋_GB2312" w:hAnsi="Times New Roman" w:hint="eastAsia"/>
          <w:sz w:val="32"/>
          <w:szCs w:val="32"/>
        </w:rPr>
        <w:t>绿色生态示范城区起步区（先导区）不小于3平方公里，</w:t>
      </w:r>
      <w:r>
        <w:rPr>
          <w:rFonts w:ascii="仿宋_GB2312" w:eastAsia="仿宋_GB2312" w:hint="eastAsia"/>
          <w:sz w:val="32"/>
          <w:szCs w:val="32"/>
        </w:rPr>
        <w:t>已按照绿色、生态、低碳理念完成总体规划、控制性详细规划及建筑、市政、能源、交通等专项规划，并获得正式批复。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2、城区内新建建筑和既有建筑改造应全面</w:t>
      </w:r>
      <w:r>
        <w:rPr>
          <w:rFonts w:ascii="仿宋_GB2312" w:eastAsia="仿宋_GB2312" w:hAnsi="Times New Roman"/>
          <w:sz w:val="32"/>
          <w:szCs w:val="30"/>
        </w:rPr>
        <w:t>执行</w:t>
      </w:r>
      <w:r>
        <w:rPr>
          <w:rFonts w:ascii="仿宋_GB2312" w:eastAsia="仿宋_GB2312" w:hAnsi="Times New Roman" w:hint="eastAsia"/>
          <w:sz w:val="32"/>
          <w:szCs w:val="30"/>
        </w:rPr>
        <w:t>绿色建筑标准，其中二星级及以上绿色建筑比例不低于50%。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Times New Roman" w:hint="eastAsia"/>
          <w:sz w:val="32"/>
          <w:szCs w:val="30"/>
        </w:rPr>
        <w:t>3、2年内绿色建筑开工建设规模不少于100万平方米。</w:t>
      </w:r>
    </w:p>
    <w:p w:rsidR="00AD23FE" w:rsidRDefault="009F0AF8">
      <w:pPr>
        <w:spacing w:line="640" w:lineRule="exact"/>
        <w:ind w:firstLineChars="200" w:firstLine="643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 xml:space="preserve">第五条【奖励标准】 </w:t>
      </w:r>
      <w:r>
        <w:rPr>
          <w:rFonts w:ascii="仿宋_GB2312" w:eastAsia="仿宋_GB2312" w:hAnsi="Times New Roman" w:hint="eastAsia"/>
          <w:sz w:val="32"/>
          <w:szCs w:val="30"/>
        </w:rPr>
        <w:t>二星级绿色建筑运行标识项目每平方米45元</w:t>
      </w:r>
      <w:r>
        <w:rPr>
          <w:rFonts w:ascii="仿宋_GB2312" w:eastAsia="仿宋_GB2312" w:hAnsi="Times New Roman"/>
          <w:sz w:val="32"/>
          <w:szCs w:val="30"/>
        </w:rPr>
        <w:t>，</w:t>
      </w:r>
      <w:r>
        <w:rPr>
          <w:rFonts w:ascii="仿宋_GB2312" w:eastAsia="仿宋_GB2312" w:hAnsi="Times New Roman" w:hint="eastAsia"/>
          <w:sz w:val="32"/>
          <w:szCs w:val="30"/>
        </w:rPr>
        <w:t xml:space="preserve"> 三星级绿色建筑运行标识项目</w:t>
      </w:r>
      <w:r>
        <w:rPr>
          <w:rFonts w:ascii="仿宋_GB2312" w:eastAsia="仿宋_GB2312" w:hAnsi="Times New Roman"/>
          <w:sz w:val="32"/>
          <w:szCs w:val="30"/>
        </w:rPr>
        <w:t>每平</w:t>
      </w:r>
      <w:r>
        <w:rPr>
          <w:rFonts w:ascii="仿宋_GB2312" w:eastAsia="仿宋_GB2312" w:hAnsi="Times New Roman" w:hint="eastAsia"/>
          <w:sz w:val="32"/>
          <w:szCs w:val="30"/>
        </w:rPr>
        <w:t>方</w:t>
      </w:r>
      <w:r>
        <w:rPr>
          <w:rFonts w:ascii="仿宋_GB2312" w:eastAsia="仿宋_GB2312" w:hAnsi="Times New Roman"/>
          <w:sz w:val="32"/>
          <w:szCs w:val="30"/>
        </w:rPr>
        <w:t>米</w:t>
      </w:r>
      <w:r>
        <w:rPr>
          <w:rFonts w:ascii="仿宋_GB2312" w:eastAsia="仿宋_GB2312" w:hAnsi="Times New Roman" w:hint="eastAsia"/>
          <w:sz w:val="32"/>
          <w:szCs w:val="30"/>
        </w:rPr>
        <w:t>80 元，被动式超低能耗建筑示范项目每平方米300元，可再生能源建筑示范项目每平方米30元，装配式建筑示范项目每平方米100元。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二星级绿色</w:t>
      </w:r>
      <w:r>
        <w:rPr>
          <w:rFonts w:ascii="仿宋_GB2312" w:eastAsia="仿宋_GB2312" w:hAnsi="Times New Roman"/>
          <w:sz w:val="32"/>
          <w:szCs w:val="30"/>
        </w:rPr>
        <w:t>建筑运行标识项目</w:t>
      </w:r>
      <w:r>
        <w:rPr>
          <w:rFonts w:ascii="仿宋_GB2312" w:eastAsia="仿宋_GB2312" w:hAnsi="Times New Roman" w:hint="eastAsia"/>
          <w:sz w:val="32"/>
          <w:szCs w:val="30"/>
        </w:rPr>
        <w:t>单个</w:t>
      </w:r>
      <w:r>
        <w:rPr>
          <w:rFonts w:ascii="仿宋_GB2312" w:eastAsia="仿宋_GB2312" w:hAnsi="Times New Roman"/>
          <w:sz w:val="32"/>
          <w:szCs w:val="30"/>
        </w:rPr>
        <w:t>项目奖励资金上限不超过2</w:t>
      </w:r>
      <w:r>
        <w:rPr>
          <w:rFonts w:ascii="仿宋_GB2312" w:eastAsia="仿宋_GB2312" w:hAnsi="Times New Roman" w:hint="eastAsia"/>
          <w:sz w:val="32"/>
          <w:szCs w:val="30"/>
        </w:rPr>
        <w:t>00万元</w:t>
      </w:r>
      <w:r>
        <w:rPr>
          <w:rFonts w:ascii="仿宋_GB2312" w:eastAsia="仿宋_GB2312" w:hAnsi="Times New Roman"/>
          <w:sz w:val="32"/>
          <w:szCs w:val="30"/>
        </w:rPr>
        <w:t>，</w:t>
      </w:r>
      <w:r>
        <w:rPr>
          <w:rFonts w:ascii="仿宋_GB2312" w:eastAsia="仿宋_GB2312" w:hAnsi="Times New Roman" w:hint="eastAsia"/>
          <w:sz w:val="32"/>
          <w:szCs w:val="30"/>
        </w:rPr>
        <w:t>三星级绿色</w:t>
      </w:r>
      <w:r>
        <w:rPr>
          <w:rFonts w:ascii="仿宋_GB2312" w:eastAsia="仿宋_GB2312" w:hAnsi="Times New Roman"/>
          <w:sz w:val="32"/>
          <w:szCs w:val="30"/>
        </w:rPr>
        <w:t>建筑运行标识项目</w:t>
      </w:r>
      <w:r>
        <w:rPr>
          <w:rFonts w:ascii="仿宋_GB2312" w:eastAsia="仿宋_GB2312" w:hAnsi="Times New Roman" w:hint="eastAsia"/>
          <w:sz w:val="32"/>
          <w:szCs w:val="30"/>
        </w:rPr>
        <w:t>单个</w:t>
      </w:r>
      <w:r>
        <w:rPr>
          <w:rFonts w:ascii="仿宋_GB2312" w:eastAsia="仿宋_GB2312" w:hAnsi="Times New Roman"/>
          <w:sz w:val="32"/>
          <w:szCs w:val="30"/>
        </w:rPr>
        <w:t>项目奖励资金上限不超过</w:t>
      </w:r>
      <w:r>
        <w:rPr>
          <w:rFonts w:ascii="仿宋_GB2312" w:eastAsia="仿宋_GB2312" w:hAnsi="Times New Roman" w:hint="eastAsia"/>
          <w:sz w:val="32"/>
          <w:szCs w:val="30"/>
        </w:rPr>
        <w:t>300万元，被动式超低能耗建筑示范项目</w:t>
      </w:r>
      <w:r>
        <w:rPr>
          <w:rFonts w:ascii="仿宋_GB2312" w:eastAsia="仿宋_GB2312" w:hAnsi="Times New Roman" w:hint="eastAsia"/>
          <w:sz w:val="32"/>
          <w:szCs w:val="30"/>
        </w:rPr>
        <w:lastRenderedPageBreak/>
        <w:t>单个项目奖励资金上限不超过</w:t>
      </w:r>
      <w:r>
        <w:rPr>
          <w:rFonts w:ascii="仿宋_GB2312" w:eastAsia="仿宋_GB2312" w:hAnsi="Times New Roman"/>
          <w:sz w:val="32"/>
          <w:szCs w:val="30"/>
        </w:rPr>
        <w:t>3</w:t>
      </w:r>
      <w:r>
        <w:rPr>
          <w:rFonts w:ascii="仿宋_GB2312" w:eastAsia="仿宋_GB2312" w:hAnsi="Times New Roman" w:hint="eastAsia"/>
          <w:sz w:val="32"/>
          <w:szCs w:val="30"/>
        </w:rPr>
        <w:t>00万元，可再生能源建筑示范项目单个项目奖励资金上限不超过</w:t>
      </w:r>
      <w:r>
        <w:rPr>
          <w:rFonts w:ascii="仿宋_GB2312" w:eastAsia="仿宋_GB2312" w:hAnsi="Times New Roman"/>
          <w:sz w:val="32"/>
          <w:szCs w:val="30"/>
        </w:rPr>
        <w:t>1</w:t>
      </w:r>
      <w:r>
        <w:rPr>
          <w:rFonts w:ascii="仿宋_GB2312" w:eastAsia="仿宋_GB2312" w:hAnsi="Times New Roman" w:hint="eastAsia"/>
          <w:sz w:val="32"/>
          <w:szCs w:val="30"/>
        </w:rPr>
        <w:t>00万元，装配式建筑示范项目单个项目奖励资金上限不超过</w:t>
      </w:r>
      <w:r>
        <w:rPr>
          <w:rFonts w:ascii="仿宋_GB2312" w:eastAsia="仿宋_GB2312" w:hAnsi="Times New Roman"/>
          <w:sz w:val="32"/>
          <w:szCs w:val="30"/>
        </w:rPr>
        <w:t>2</w:t>
      </w:r>
      <w:r>
        <w:rPr>
          <w:rFonts w:ascii="仿宋_GB2312" w:eastAsia="仿宋_GB2312" w:hAnsi="Times New Roman" w:hint="eastAsia"/>
          <w:sz w:val="32"/>
          <w:szCs w:val="30"/>
        </w:rPr>
        <w:t>00万元。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绿色生态城区奖励资金上限为1000万元。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奖励资金视年度预算情况可适当调整。对于同时满足多项奖励条件的项目不重复奖励，奖励资金按高额进行补贴。</w:t>
      </w:r>
    </w:p>
    <w:p w:rsidR="00AD23FE" w:rsidRDefault="009F0AF8">
      <w:pPr>
        <w:spacing w:line="640" w:lineRule="exact"/>
        <w:ind w:firstLineChars="200" w:firstLine="643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>第六条【申报主体】</w:t>
      </w:r>
      <w:r>
        <w:rPr>
          <w:rFonts w:ascii="仿宋_GB2312" w:eastAsia="仿宋_GB2312" w:hAnsi="Times New Roman" w:hint="eastAsia"/>
          <w:sz w:val="32"/>
          <w:szCs w:val="30"/>
        </w:rPr>
        <w:t xml:space="preserve"> 绿色建筑运行标识奖励资金由项目建设单位或运营单位申报。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被动式超低能耗建筑示范项目、可再生能源建筑示范项目、装配式建筑示范项目奖励</w:t>
      </w:r>
      <w:r>
        <w:rPr>
          <w:rFonts w:ascii="仿宋_GB2312" w:eastAsia="仿宋_GB2312" w:hAnsi="Times New Roman"/>
          <w:sz w:val="32"/>
          <w:szCs w:val="30"/>
        </w:rPr>
        <w:t>资金</w:t>
      </w:r>
      <w:r>
        <w:rPr>
          <w:rFonts w:ascii="仿宋_GB2312" w:eastAsia="仿宋_GB2312" w:hAnsi="Times New Roman" w:hint="eastAsia"/>
          <w:sz w:val="32"/>
          <w:szCs w:val="30"/>
        </w:rPr>
        <w:t>由建设单位申报。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绿色生态城区奖励资金由生态城区管理职能部门申报。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每个项目只能有一个申报主体。</w:t>
      </w:r>
    </w:p>
    <w:p w:rsidR="00AD23FE" w:rsidRDefault="009F0AF8">
      <w:pPr>
        <w:spacing w:line="640" w:lineRule="exact"/>
        <w:ind w:firstLineChars="200" w:firstLine="643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 xml:space="preserve">第七条 【申报材料】 </w:t>
      </w:r>
      <w:r>
        <w:rPr>
          <w:rFonts w:ascii="仿宋_GB2312" w:eastAsia="仿宋_GB2312" w:hAnsi="Times New Roman" w:hint="eastAsia"/>
          <w:sz w:val="32"/>
          <w:szCs w:val="30"/>
        </w:rPr>
        <w:t>申报单位应提交以下申报材料：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绿色建筑运行标识项目提交申报书、有效期</w:t>
      </w:r>
      <w:r>
        <w:rPr>
          <w:rFonts w:ascii="仿宋_GB2312" w:eastAsia="仿宋_GB2312" w:hAnsi="Times New Roman"/>
          <w:sz w:val="32"/>
          <w:szCs w:val="30"/>
        </w:rPr>
        <w:t>内的</w:t>
      </w:r>
      <w:r>
        <w:rPr>
          <w:rFonts w:ascii="仿宋_GB2312" w:eastAsia="仿宋_GB2312" w:hAnsi="Times New Roman" w:hint="eastAsia"/>
          <w:sz w:val="32"/>
          <w:szCs w:val="30"/>
        </w:rPr>
        <w:t>绿色建筑运行标识证书。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被动式超低能耗建筑示范项目提交申报书、施工图</w:t>
      </w:r>
      <w:r>
        <w:rPr>
          <w:rFonts w:ascii="仿宋_GB2312" w:eastAsia="仿宋_GB2312" w:hAnsi="Times New Roman"/>
          <w:sz w:val="32"/>
          <w:szCs w:val="30"/>
        </w:rPr>
        <w:t>审查合格</w:t>
      </w:r>
      <w:r>
        <w:rPr>
          <w:rFonts w:ascii="仿宋_GB2312" w:eastAsia="仿宋_GB2312" w:hAnsi="Times New Roman" w:hint="eastAsia"/>
          <w:sz w:val="32"/>
          <w:szCs w:val="30"/>
        </w:rPr>
        <w:t>证书、</w:t>
      </w:r>
      <w:r>
        <w:rPr>
          <w:rFonts w:ascii="仿宋_GB2312" w:eastAsia="仿宋_GB2312" w:hAnsi="Times New Roman"/>
          <w:sz w:val="32"/>
          <w:szCs w:val="30"/>
        </w:rPr>
        <w:t>施工许可证</w:t>
      </w:r>
      <w:r>
        <w:rPr>
          <w:rFonts w:ascii="仿宋_GB2312" w:eastAsia="仿宋_GB2312" w:hAnsi="Times New Roman" w:hint="eastAsia"/>
          <w:sz w:val="32"/>
          <w:szCs w:val="30"/>
        </w:rPr>
        <w:t>、被动式超低</w:t>
      </w:r>
      <w:r>
        <w:rPr>
          <w:rFonts w:ascii="仿宋_GB2312" w:eastAsia="仿宋_GB2312" w:hAnsi="Times New Roman"/>
          <w:sz w:val="32"/>
          <w:szCs w:val="30"/>
        </w:rPr>
        <w:t>能耗专项技术方案</w:t>
      </w:r>
      <w:r>
        <w:rPr>
          <w:rFonts w:ascii="仿宋_GB2312" w:eastAsia="仿宋_GB2312" w:hAnsi="Times New Roman" w:hint="eastAsia"/>
          <w:sz w:val="32"/>
          <w:szCs w:val="30"/>
        </w:rPr>
        <w:t>、</w:t>
      </w:r>
      <w:r>
        <w:rPr>
          <w:rFonts w:ascii="仿宋_GB2312" w:eastAsia="仿宋_GB2312" w:hAnsi="Times New Roman"/>
          <w:sz w:val="32"/>
          <w:szCs w:val="30"/>
        </w:rPr>
        <w:t>工程进度</w:t>
      </w:r>
      <w:r>
        <w:rPr>
          <w:rFonts w:ascii="仿宋_GB2312" w:eastAsia="仿宋_GB2312" w:hAnsi="Times New Roman" w:hint="eastAsia"/>
          <w:sz w:val="32"/>
          <w:szCs w:val="30"/>
        </w:rPr>
        <w:t>计划及2年内按期</w:t>
      </w:r>
      <w:r>
        <w:rPr>
          <w:rFonts w:ascii="仿宋_GB2312" w:eastAsia="仿宋_GB2312" w:hAnsi="Times New Roman"/>
          <w:sz w:val="32"/>
          <w:szCs w:val="30"/>
        </w:rPr>
        <w:t>完工承诺书</w:t>
      </w:r>
      <w:r>
        <w:rPr>
          <w:rFonts w:ascii="仿宋_GB2312" w:eastAsia="仿宋_GB2312" w:hAnsi="Times New Roman" w:hint="eastAsia"/>
          <w:sz w:val="32"/>
          <w:szCs w:val="30"/>
        </w:rPr>
        <w:t>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可再生能源建筑示范项目提交申报书、施工图审查合格证书、施工许可证、可再生能源</w:t>
      </w:r>
      <w:r>
        <w:rPr>
          <w:rFonts w:ascii="仿宋_GB2312" w:eastAsia="仿宋_GB2312" w:hAnsi="Times New Roman"/>
          <w:sz w:val="32"/>
          <w:szCs w:val="30"/>
        </w:rPr>
        <w:t>系统</w:t>
      </w:r>
      <w:r>
        <w:rPr>
          <w:rFonts w:ascii="仿宋_GB2312" w:eastAsia="仿宋_GB2312" w:hAnsi="Times New Roman" w:hint="eastAsia"/>
          <w:sz w:val="32"/>
          <w:szCs w:val="30"/>
        </w:rPr>
        <w:t>设计</w:t>
      </w:r>
      <w:r>
        <w:rPr>
          <w:rFonts w:ascii="仿宋_GB2312" w:eastAsia="仿宋_GB2312" w:hAnsi="Times New Roman"/>
          <w:sz w:val="32"/>
          <w:szCs w:val="30"/>
        </w:rPr>
        <w:t>图纸、</w:t>
      </w:r>
      <w:r>
        <w:rPr>
          <w:rFonts w:ascii="仿宋_GB2312" w:eastAsia="仿宋_GB2312" w:hAnsi="Times New Roman" w:hint="eastAsia"/>
          <w:sz w:val="32"/>
          <w:szCs w:val="30"/>
        </w:rPr>
        <w:t>可再生能源应用比例计算报告、工程进度计划及2年内按期</w:t>
      </w:r>
      <w:r>
        <w:rPr>
          <w:rFonts w:ascii="仿宋_GB2312" w:eastAsia="仿宋_GB2312" w:hAnsi="Times New Roman"/>
          <w:sz w:val="32"/>
          <w:szCs w:val="30"/>
        </w:rPr>
        <w:t>完工承诺书</w:t>
      </w:r>
      <w:r>
        <w:rPr>
          <w:rFonts w:ascii="仿宋_GB2312" w:eastAsia="仿宋_GB2312" w:hAnsi="Times New Roman" w:hint="eastAsia"/>
          <w:sz w:val="32"/>
          <w:szCs w:val="30"/>
        </w:rPr>
        <w:t>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lastRenderedPageBreak/>
        <w:t>装配式建筑示范项目提交申报书、施工图审查合格证书、施工许可证、结构设计</w:t>
      </w:r>
      <w:r>
        <w:rPr>
          <w:rFonts w:ascii="仿宋_GB2312" w:eastAsia="仿宋_GB2312" w:hAnsi="Times New Roman"/>
          <w:sz w:val="32"/>
          <w:szCs w:val="30"/>
        </w:rPr>
        <w:t>图纸、</w:t>
      </w:r>
      <w:r>
        <w:rPr>
          <w:rFonts w:ascii="仿宋_GB2312" w:eastAsia="仿宋_GB2312" w:hAnsi="Times New Roman" w:hint="eastAsia"/>
          <w:sz w:val="32"/>
          <w:szCs w:val="30"/>
        </w:rPr>
        <w:t>预制装配率计算报告、工程进度计划及2年内按期</w:t>
      </w:r>
      <w:r>
        <w:rPr>
          <w:rFonts w:ascii="仿宋_GB2312" w:eastAsia="仿宋_GB2312" w:hAnsi="Times New Roman"/>
          <w:sz w:val="32"/>
          <w:szCs w:val="30"/>
        </w:rPr>
        <w:t>完工承诺书</w:t>
      </w:r>
      <w:r>
        <w:rPr>
          <w:rFonts w:ascii="仿宋_GB2312" w:eastAsia="仿宋_GB2312" w:hAnsi="Times New Roman" w:hint="eastAsia"/>
          <w:sz w:val="32"/>
          <w:szCs w:val="30"/>
        </w:rPr>
        <w:t>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绿色生态城区提交申报书、通过批复的总体规划、控制性详细规划、绿色生态指标体系、绿色</w:t>
      </w:r>
      <w:r>
        <w:rPr>
          <w:rFonts w:ascii="仿宋_GB2312" w:eastAsia="仿宋_GB2312" w:hAnsi="Times New Roman"/>
          <w:sz w:val="32"/>
          <w:szCs w:val="30"/>
        </w:rPr>
        <w:t>生态</w:t>
      </w:r>
      <w:r>
        <w:rPr>
          <w:rFonts w:ascii="仿宋_GB2312" w:eastAsia="仿宋_GB2312" w:hAnsi="Times New Roman" w:hint="eastAsia"/>
          <w:sz w:val="32"/>
          <w:szCs w:val="30"/>
        </w:rPr>
        <w:t>专项规划报告、落实保障措施、奖励资金使用计划、3年实施计划。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所有申请奖励资金项目应同时提交面积核查证明文件。</w:t>
      </w:r>
    </w:p>
    <w:p w:rsidR="00AD23FE" w:rsidRDefault="009F0AF8">
      <w:pPr>
        <w:spacing w:line="640" w:lineRule="exact"/>
        <w:ind w:firstLineChars="200" w:firstLine="643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 xml:space="preserve">第八条【申报程序】 </w:t>
      </w:r>
      <w:r>
        <w:rPr>
          <w:rFonts w:ascii="仿宋_GB2312" w:eastAsia="仿宋_GB2312" w:hAnsi="Times New Roman" w:hint="eastAsia"/>
          <w:sz w:val="32"/>
          <w:szCs w:val="30"/>
        </w:rPr>
        <w:t>申报单位向区建设行政主管部门提出申请，审核通过后，报送市建设行政主管部门。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市建设行政主管部门组织专家对申请项目进行专家评审，对评审</w:t>
      </w:r>
      <w:r>
        <w:rPr>
          <w:rFonts w:ascii="仿宋_GB2312" w:eastAsia="仿宋_GB2312" w:hAnsi="Times New Roman"/>
          <w:sz w:val="32"/>
          <w:szCs w:val="30"/>
        </w:rPr>
        <w:t>通过的项目列入</w:t>
      </w:r>
      <w:r>
        <w:rPr>
          <w:rFonts w:ascii="仿宋_GB2312" w:eastAsia="仿宋_GB2312" w:hAnsi="Times New Roman" w:hint="eastAsia"/>
          <w:sz w:val="32"/>
          <w:szCs w:val="30"/>
        </w:rPr>
        <w:t>示范</w:t>
      </w:r>
      <w:r>
        <w:rPr>
          <w:rFonts w:ascii="仿宋_GB2312" w:eastAsia="仿宋_GB2312" w:hAnsi="Times New Roman"/>
          <w:sz w:val="32"/>
          <w:szCs w:val="30"/>
        </w:rPr>
        <w:t>项目库</w:t>
      </w:r>
    </w:p>
    <w:p w:rsidR="00AD23FE" w:rsidRDefault="009F0AF8">
      <w:pPr>
        <w:spacing w:line="640" w:lineRule="exact"/>
        <w:ind w:firstLineChars="200" w:firstLine="643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>第九条【项目</w:t>
      </w:r>
      <w:r>
        <w:rPr>
          <w:rFonts w:ascii="仿宋_GB2312" w:eastAsia="仿宋_GB2312" w:hAnsi="Times New Roman"/>
          <w:b/>
          <w:sz w:val="32"/>
          <w:szCs w:val="30"/>
        </w:rPr>
        <w:t>验收</w:t>
      </w:r>
      <w:r>
        <w:rPr>
          <w:rFonts w:ascii="仿宋_GB2312" w:eastAsia="仿宋_GB2312" w:hAnsi="Times New Roman" w:hint="eastAsia"/>
          <w:b/>
          <w:sz w:val="32"/>
          <w:szCs w:val="30"/>
        </w:rPr>
        <w:t xml:space="preserve">】 </w:t>
      </w:r>
      <w:r>
        <w:rPr>
          <w:rFonts w:ascii="仿宋_GB2312" w:eastAsia="仿宋_GB2312" w:hAnsi="Times New Roman" w:hint="eastAsia"/>
          <w:sz w:val="32"/>
          <w:szCs w:val="30"/>
        </w:rPr>
        <w:t>被动式超低能耗建筑示范项目、可再生能源</w:t>
      </w:r>
      <w:r>
        <w:rPr>
          <w:rFonts w:ascii="仿宋_GB2312" w:eastAsia="仿宋_GB2312" w:hAnsi="Times New Roman"/>
          <w:sz w:val="32"/>
          <w:szCs w:val="30"/>
        </w:rPr>
        <w:t>建筑示范项目、</w:t>
      </w:r>
      <w:r>
        <w:rPr>
          <w:rFonts w:ascii="仿宋_GB2312" w:eastAsia="仿宋_GB2312" w:hAnsi="Times New Roman" w:hint="eastAsia"/>
          <w:sz w:val="32"/>
          <w:szCs w:val="30"/>
        </w:rPr>
        <w:t>装配式建筑示范项目、</w:t>
      </w:r>
      <w:r>
        <w:rPr>
          <w:rFonts w:ascii="仿宋_GB2312" w:eastAsia="仿宋_GB2312" w:hAnsi="Times New Roman"/>
          <w:sz w:val="32"/>
          <w:szCs w:val="30"/>
        </w:rPr>
        <w:t>绿色生态城区</w:t>
      </w:r>
      <w:r>
        <w:rPr>
          <w:rFonts w:ascii="仿宋_GB2312" w:eastAsia="仿宋_GB2312" w:hAnsi="Times New Roman" w:hint="eastAsia"/>
          <w:sz w:val="32"/>
          <w:szCs w:val="30"/>
        </w:rPr>
        <w:t>申报单位应按申报内容如期组织验收，区建设行政主管部门应当予以监督。</w:t>
      </w:r>
    </w:p>
    <w:p w:rsidR="00AD23FE" w:rsidRDefault="009F0AF8">
      <w:pPr>
        <w:spacing w:line="64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验收通过的出具示范工程竣工验收报告。</w:t>
      </w:r>
    </w:p>
    <w:p w:rsidR="00AD23FE" w:rsidRDefault="009F0AF8">
      <w:pPr>
        <w:spacing w:line="640" w:lineRule="exact"/>
        <w:ind w:firstLineChars="200" w:firstLine="643"/>
        <w:rPr>
          <w:rFonts w:ascii="仿宋_GB2312" w:eastAsia="仿宋_GB2312" w:hAnsi="Times New Roman"/>
          <w:b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>第十条【资金</w:t>
      </w:r>
      <w:r>
        <w:rPr>
          <w:rFonts w:ascii="仿宋_GB2312" w:eastAsia="仿宋_GB2312" w:hAnsi="Times New Roman"/>
          <w:b/>
          <w:sz w:val="32"/>
          <w:szCs w:val="30"/>
        </w:rPr>
        <w:t>拨付</w:t>
      </w:r>
      <w:r>
        <w:rPr>
          <w:rFonts w:ascii="仿宋_GB2312" w:eastAsia="仿宋_GB2312" w:hAnsi="Times New Roman" w:hint="eastAsia"/>
          <w:b/>
          <w:sz w:val="32"/>
          <w:szCs w:val="30"/>
        </w:rPr>
        <w:t xml:space="preserve">】 </w:t>
      </w:r>
      <w:r>
        <w:rPr>
          <w:rFonts w:ascii="仿宋_GB2312" w:eastAsia="仿宋_GB2312" w:hAnsi="Times New Roman" w:hint="eastAsia"/>
          <w:sz w:val="32"/>
          <w:szCs w:val="30"/>
        </w:rPr>
        <w:t>绿色建筑运行标识项目奖励资金</w:t>
      </w:r>
      <w:r>
        <w:rPr>
          <w:rFonts w:ascii="仿宋_GB2312" w:eastAsia="仿宋_GB2312" w:hAnsi="Times New Roman"/>
          <w:sz w:val="32"/>
          <w:szCs w:val="30"/>
        </w:rPr>
        <w:t>一次性</w:t>
      </w:r>
      <w:r>
        <w:rPr>
          <w:rFonts w:ascii="仿宋_GB2312" w:eastAsia="仿宋_GB2312" w:hAnsi="Times New Roman" w:hint="eastAsia"/>
          <w:sz w:val="32"/>
          <w:szCs w:val="30"/>
        </w:rPr>
        <w:t>拨付给申报</w:t>
      </w:r>
      <w:r>
        <w:rPr>
          <w:rFonts w:ascii="仿宋_GB2312" w:eastAsia="仿宋_GB2312" w:hAnsi="Times New Roman"/>
          <w:sz w:val="32"/>
          <w:szCs w:val="30"/>
        </w:rPr>
        <w:t>单位</w:t>
      </w:r>
      <w:r>
        <w:rPr>
          <w:rFonts w:ascii="仿宋_GB2312" w:eastAsia="仿宋_GB2312" w:hAnsi="Times New Roman" w:hint="eastAsia"/>
          <w:sz w:val="32"/>
          <w:szCs w:val="30"/>
        </w:rPr>
        <w:t>，其余</w:t>
      </w:r>
      <w:r>
        <w:rPr>
          <w:rFonts w:ascii="仿宋_GB2312" w:eastAsia="仿宋_GB2312" w:hAnsi="Times New Roman"/>
          <w:sz w:val="32"/>
          <w:szCs w:val="30"/>
        </w:rPr>
        <w:t>示范项目按</w:t>
      </w:r>
      <w:r>
        <w:rPr>
          <w:rFonts w:ascii="仿宋_GB2312" w:eastAsia="仿宋_GB2312" w:hAnsi="Times New Roman" w:hint="eastAsia"/>
          <w:sz w:val="32"/>
          <w:szCs w:val="30"/>
        </w:rPr>
        <w:t>奖励</w:t>
      </w:r>
      <w:r>
        <w:rPr>
          <w:rFonts w:ascii="仿宋_GB2312" w:eastAsia="仿宋_GB2312" w:hAnsi="Times New Roman"/>
          <w:sz w:val="32"/>
          <w:szCs w:val="30"/>
        </w:rPr>
        <w:t>资金的</w:t>
      </w:r>
      <w:r>
        <w:rPr>
          <w:rFonts w:ascii="仿宋_GB2312" w:eastAsia="仿宋_GB2312" w:hAnsi="Times New Roman" w:hint="eastAsia"/>
          <w:sz w:val="32"/>
          <w:szCs w:val="30"/>
        </w:rPr>
        <w:t>50</w:t>
      </w:r>
      <w:r>
        <w:rPr>
          <w:rFonts w:ascii="仿宋_GB2312" w:eastAsia="仿宋_GB2312" w:hAnsi="Times New Roman"/>
          <w:sz w:val="32"/>
          <w:szCs w:val="30"/>
        </w:rPr>
        <w:t>%预</w:t>
      </w:r>
      <w:r>
        <w:rPr>
          <w:rFonts w:ascii="仿宋_GB2312" w:eastAsia="仿宋_GB2312" w:hAnsi="Times New Roman" w:hint="eastAsia"/>
          <w:sz w:val="32"/>
          <w:szCs w:val="30"/>
        </w:rPr>
        <w:t>拨给</w:t>
      </w:r>
      <w:r>
        <w:rPr>
          <w:rFonts w:ascii="仿宋_GB2312" w:eastAsia="仿宋_GB2312" w:hAnsi="Times New Roman"/>
          <w:sz w:val="32"/>
          <w:szCs w:val="30"/>
        </w:rPr>
        <w:t>申报单位，待项目通过专项验收后</w:t>
      </w:r>
      <w:r>
        <w:rPr>
          <w:rFonts w:ascii="仿宋_GB2312" w:eastAsia="仿宋_GB2312" w:hAnsi="Times New Roman" w:hint="eastAsia"/>
          <w:sz w:val="32"/>
          <w:szCs w:val="30"/>
        </w:rPr>
        <w:t>，依据示范工程竣工验收报告</w:t>
      </w:r>
      <w:r>
        <w:rPr>
          <w:rFonts w:ascii="仿宋_GB2312" w:eastAsia="仿宋_GB2312" w:hAnsi="Times New Roman"/>
          <w:sz w:val="32"/>
          <w:szCs w:val="30"/>
        </w:rPr>
        <w:t>拨付剩余资金。</w:t>
      </w:r>
    </w:p>
    <w:p w:rsidR="00AD23FE" w:rsidRDefault="009F0AF8">
      <w:pPr>
        <w:ind w:firstLineChars="200" w:firstLine="643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>第十一条【奖励资金使用】</w:t>
      </w:r>
      <w:r>
        <w:rPr>
          <w:rFonts w:ascii="仿宋_GB2312" w:eastAsia="仿宋_GB2312" w:hAnsi="Times New Roman" w:hint="eastAsia"/>
          <w:sz w:val="32"/>
          <w:szCs w:val="30"/>
        </w:rPr>
        <w:t>绿色生态城区奖励资金主要用于补贴城区绿色生态规划编制、指标体系制定和监督落</w:t>
      </w:r>
      <w:r>
        <w:rPr>
          <w:rFonts w:ascii="仿宋_GB2312" w:eastAsia="仿宋_GB2312" w:hAnsi="Times New Roman" w:hint="eastAsia"/>
          <w:sz w:val="32"/>
          <w:szCs w:val="30"/>
        </w:rPr>
        <w:lastRenderedPageBreak/>
        <w:t>实、能力建设以及绿色</w:t>
      </w:r>
      <w:r>
        <w:rPr>
          <w:rFonts w:ascii="仿宋_GB2312" w:eastAsia="仿宋_GB2312" w:hAnsi="Times New Roman"/>
          <w:sz w:val="32"/>
          <w:szCs w:val="30"/>
        </w:rPr>
        <w:t>交通、海绵城市、清洁能源</w:t>
      </w:r>
      <w:r>
        <w:rPr>
          <w:rFonts w:ascii="仿宋_GB2312" w:eastAsia="仿宋_GB2312" w:hAnsi="Times New Roman" w:hint="eastAsia"/>
          <w:sz w:val="32"/>
          <w:szCs w:val="30"/>
        </w:rPr>
        <w:t>、</w:t>
      </w:r>
      <w:r>
        <w:rPr>
          <w:rFonts w:ascii="仿宋_GB2312" w:eastAsia="仿宋_GB2312" w:hAnsi="Times New Roman"/>
          <w:bCs/>
          <w:sz w:val="32"/>
          <w:szCs w:val="30"/>
        </w:rPr>
        <w:t>公共信息平台</w:t>
      </w:r>
      <w:r>
        <w:rPr>
          <w:rFonts w:ascii="仿宋_GB2312" w:eastAsia="仿宋_GB2312" w:hAnsi="Times New Roman" w:hint="eastAsia"/>
          <w:sz w:val="32"/>
          <w:szCs w:val="30"/>
        </w:rPr>
        <w:t>等基础设施建设。</w:t>
      </w:r>
    </w:p>
    <w:p w:rsidR="00AD23FE" w:rsidRDefault="009F0AF8">
      <w:pPr>
        <w:widowControl/>
        <w:spacing w:line="640" w:lineRule="exact"/>
        <w:ind w:firstLineChars="200" w:firstLine="643"/>
        <w:jc w:val="left"/>
        <w:outlineLvl w:val="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 xml:space="preserve">第十二条【奖励资金监管】 </w:t>
      </w:r>
      <w:r>
        <w:rPr>
          <w:rFonts w:ascii="仿宋_GB2312" w:eastAsia="仿宋_GB2312" w:hAnsi="Times New Roman" w:hint="eastAsia"/>
          <w:sz w:val="32"/>
          <w:szCs w:val="30"/>
        </w:rPr>
        <w:t>对于预拨奖励资金示范项目，</w:t>
      </w:r>
      <w:r>
        <w:rPr>
          <w:rFonts w:ascii="仿宋_GB2312" w:eastAsia="仿宋_GB2312" w:hAnsi="Times New Roman"/>
          <w:sz w:val="32"/>
          <w:szCs w:val="30"/>
        </w:rPr>
        <w:t>申报单位</w:t>
      </w:r>
      <w:r>
        <w:rPr>
          <w:rFonts w:ascii="仿宋_GB2312" w:eastAsia="仿宋_GB2312" w:hAnsi="Times New Roman" w:hint="eastAsia"/>
          <w:sz w:val="32"/>
          <w:szCs w:val="30"/>
        </w:rPr>
        <w:t>应设立资金专用账户专款专用。接受</w:t>
      </w:r>
      <w:r>
        <w:rPr>
          <w:rFonts w:ascii="仿宋_GB2312" w:eastAsia="仿宋_GB2312" w:hAnsi="Times New Roman"/>
          <w:sz w:val="32"/>
          <w:szCs w:val="30"/>
        </w:rPr>
        <w:t>区</w:t>
      </w:r>
      <w:r>
        <w:rPr>
          <w:rFonts w:ascii="仿宋_GB2312" w:eastAsia="仿宋_GB2312" w:hAnsi="Times New Roman" w:hint="eastAsia"/>
          <w:sz w:val="32"/>
          <w:szCs w:val="30"/>
        </w:rPr>
        <w:t>建设行政主管部门对工程进度及奖励资金使用情况的定期监督检查。</w:t>
      </w:r>
    </w:p>
    <w:p w:rsidR="00AD23FE" w:rsidRDefault="009F0AF8">
      <w:pPr>
        <w:spacing w:line="640" w:lineRule="exact"/>
        <w:ind w:firstLineChars="200" w:firstLine="643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 xml:space="preserve">第十三条 【监督和管理】 </w:t>
      </w:r>
      <w:r>
        <w:rPr>
          <w:rFonts w:ascii="仿宋_GB2312" w:eastAsia="仿宋_GB2312" w:hAnsi="Times New Roman" w:hint="eastAsia"/>
          <w:sz w:val="32"/>
          <w:szCs w:val="30"/>
        </w:rPr>
        <w:t>出现</w:t>
      </w:r>
      <w:r>
        <w:rPr>
          <w:rFonts w:ascii="仿宋_GB2312" w:eastAsia="仿宋_GB2312" w:hAnsi="Times New Roman"/>
          <w:sz w:val="32"/>
          <w:szCs w:val="30"/>
        </w:rPr>
        <w:t>以下情况之一的，由建设行政主管部门取消其示范资格，由财政部门追缴</w:t>
      </w:r>
      <w:r>
        <w:rPr>
          <w:rFonts w:ascii="仿宋_GB2312" w:eastAsia="仿宋_GB2312" w:hAnsi="Times New Roman" w:hint="eastAsia"/>
          <w:sz w:val="32"/>
          <w:szCs w:val="30"/>
        </w:rPr>
        <w:t>扣回</w:t>
      </w:r>
      <w:r>
        <w:rPr>
          <w:rFonts w:ascii="仿宋_GB2312" w:eastAsia="仿宋_GB2312" w:hAnsi="Times New Roman"/>
          <w:sz w:val="32"/>
          <w:szCs w:val="30"/>
        </w:rPr>
        <w:t>已拨付的奖励资金。</w:t>
      </w:r>
      <w:r>
        <w:rPr>
          <w:rFonts w:ascii="仿宋_GB2312" w:eastAsia="仿宋_GB2312" w:hAnsi="Times New Roman" w:hint="eastAsia"/>
          <w:sz w:val="32"/>
          <w:szCs w:val="30"/>
        </w:rPr>
        <w:t>对违规企业和负责人进行不良信用登记，予以公示，并依法进行处理。</w:t>
      </w:r>
    </w:p>
    <w:p w:rsidR="00AD23FE" w:rsidRDefault="009F0AF8">
      <w:pPr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（一）提供</w:t>
      </w:r>
      <w:r>
        <w:rPr>
          <w:rFonts w:ascii="仿宋_GB2312" w:eastAsia="仿宋_GB2312" w:hAnsi="Times New Roman"/>
          <w:sz w:val="32"/>
          <w:szCs w:val="30"/>
        </w:rPr>
        <w:t>的申报及验收文件、资料、数据不真实，弄虚作假的</w:t>
      </w:r>
      <w:r>
        <w:rPr>
          <w:rFonts w:ascii="仿宋_GB2312" w:eastAsia="仿宋_GB2312" w:hAnsi="Times New Roman" w:hint="eastAsia"/>
          <w:sz w:val="32"/>
          <w:szCs w:val="30"/>
        </w:rPr>
        <w:t>。</w:t>
      </w:r>
    </w:p>
    <w:p w:rsidR="00AD23FE" w:rsidRDefault="009F0AF8">
      <w:pPr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（二）项目</w:t>
      </w:r>
      <w:r>
        <w:rPr>
          <w:rFonts w:ascii="仿宋_GB2312" w:eastAsia="仿宋_GB2312" w:hAnsi="Times New Roman"/>
          <w:sz w:val="32"/>
          <w:szCs w:val="30"/>
        </w:rPr>
        <w:t>验收未达到目标要求的</w:t>
      </w:r>
      <w:r>
        <w:rPr>
          <w:rFonts w:ascii="仿宋_GB2312" w:eastAsia="仿宋_GB2312" w:hAnsi="Times New Roman" w:hint="eastAsia"/>
          <w:sz w:val="32"/>
          <w:szCs w:val="30"/>
        </w:rPr>
        <w:t>。</w:t>
      </w:r>
    </w:p>
    <w:p w:rsidR="00AD23FE" w:rsidRDefault="009F0AF8">
      <w:pPr>
        <w:ind w:firstLineChars="200" w:firstLine="64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（三）</w:t>
      </w:r>
      <w:r>
        <w:rPr>
          <w:rFonts w:ascii="仿宋_GB2312" w:eastAsia="仿宋_GB2312" w:hAnsi="Times New Roman"/>
          <w:sz w:val="32"/>
          <w:szCs w:val="30"/>
        </w:rPr>
        <w:t>实施进度超过申报承诺时限</w:t>
      </w:r>
      <w:r>
        <w:rPr>
          <w:rFonts w:ascii="仿宋_GB2312" w:eastAsia="仿宋_GB2312" w:hAnsi="Times New Roman" w:hint="eastAsia"/>
          <w:sz w:val="32"/>
          <w:szCs w:val="30"/>
        </w:rPr>
        <w:t>一</w:t>
      </w:r>
      <w:r>
        <w:rPr>
          <w:rFonts w:ascii="仿宋_GB2312" w:eastAsia="仿宋_GB2312" w:hAnsi="Times New Roman"/>
          <w:sz w:val="32"/>
          <w:szCs w:val="30"/>
        </w:rPr>
        <w:t>年的。</w:t>
      </w:r>
    </w:p>
    <w:p w:rsidR="00AD23FE" w:rsidRDefault="009F0AF8">
      <w:pPr>
        <w:widowControl/>
        <w:spacing w:line="640" w:lineRule="exact"/>
        <w:ind w:firstLineChars="200" w:firstLine="643"/>
        <w:jc w:val="left"/>
        <w:outlineLvl w:val="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>第十四条【解释权】</w:t>
      </w:r>
      <w:r>
        <w:rPr>
          <w:rFonts w:ascii="仿宋_GB2312" w:eastAsia="仿宋_GB2312" w:hAnsi="Times New Roman" w:hint="eastAsia"/>
          <w:sz w:val="32"/>
          <w:szCs w:val="30"/>
        </w:rPr>
        <w:t>本办法由天津市城乡建设委员会负责解释。</w:t>
      </w:r>
    </w:p>
    <w:p w:rsidR="00AD23FE" w:rsidRDefault="009F0AF8">
      <w:pPr>
        <w:widowControl/>
        <w:spacing w:line="640" w:lineRule="exact"/>
        <w:ind w:firstLineChars="200" w:firstLine="643"/>
        <w:jc w:val="left"/>
        <w:outlineLvl w:val="0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0"/>
        </w:rPr>
        <w:t>第十五条【实施时间】</w:t>
      </w:r>
      <w:r>
        <w:rPr>
          <w:rFonts w:ascii="仿宋_GB2312" w:eastAsia="仿宋_GB2312" w:hAnsi="Times New Roman" w:hint="eastAsia"/>
          <w:sz w:val="32"/>
          <w:szCs w:val="30"/>
        </w:rPr>
        <w:t>本办法自  年 月 日起施行。</w:t>
      </w:r>
    </w:p>
    <w:sectPr w:rsidR="00AD23FE" w:rsidSect="00AD2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6B" w:rsidRDefault="00A4436B" w:rsidP="00330116">
      <w:r>
        <w:separator/>
      </w:r>
    </w:p>
  </w:endnote>
  <w:endnote w:type="continuationSeparator" w:id="1">
    <w:p w:rsidR="00A4436B" w:rsidRDefault="00A4436B" w:rsidP="0033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6B" w:rsidRDefault="00A4436B" w:rsidP="00330116">
      <w:r>
        <w:separator/>
      </w:r>
    </w:p>
  </w:footnote>
  <w:footnote w:type="continuationSeparator" w:id="1">
    <w:p w:rsidR="00A4436B" w:rsidRDefault="00A4436B" w:rsidP="00330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750E"/>
    <w:multiLevelType w:val="multilevel"/>
    <w:tmpl w:val="6DB1750E"/>
    <w:lvl w:ilvl="0">
      <w:start w:val="1"/>
      <w:numFmt w:val="japaneseCounting"/>
      <w:lvlText w:val="（%1）"/>
      <w:lvlJc w:val="left"/>
      <w:pPr>
        <w:ind w:left="1704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FE2"/>
    <w:rsid w:val="000008D2"/>
    <w:rsid w:val="000221D9"/>
    <w:rsid w:val="000225DA"/>
    <w:rsid w:val="00022B02"/>
    <w:rsid w:val="00026493"/>
    <w:rsid w:val="0003225A"/>
    <w:rsid w:val="0003521F"/>
    <w:rsid w:val="000411B4"/>
    <w:rsid w:val="00042AF4"/>
    <w:rsid w:val="00046076"/>
    <w:rsid w:val="00060D82"/>
    <w:rsid w:val="00060E77"/>
    <w:rsid w:val="000645AD"/>
    <w:rsid w:val="00074286"/>
    <w:rsid w:val="0007444A"/>
    <w:rsid w:val="000822E6"/>
    <w:rsid w:val="00091F03"/>
    <w:rsid w:val="00097DD8"/>
    <w:rsid w:val="000A0F18"/>
    <w:rsid w:val="000A5263"/>
    <w:rsid w:val="000C5468"/>
    <w:rsid w:val="000C63DD"/>
    <w:rsid w:val="000D02D9"/>
    <w:rsid w:val="000D7188"/>
    <w:rsid w:val="000D7AE6"/>
    <w:rsid w:val="000E0A99"/>
    <w:rsid w:val="000E24E5"/>
    <w:rsid w:val="000E66F2"/>
    <w:rsid w:val="000E6B16"/>
    <w:rsid w:val="000F1461"/>
    <w:rsid w:val="000F2EAA"/>
    <w:rsid w:val="000F620D"/>
    <w:rsid w:val="00101390"/>
    <w:rsid w:val="001116D4"/>
    <w:rsid w:val="001159A3"/>
    <w:rsid w:val="00131E98"/>
    <w:rsid w:val="001405E9"/>
    <w:rsid w:val="00141BE6"/>
    <w:rsid w:val="00155A03"/>
    <w:rsid w:val="001565F8"/>
    <w:rsid w:val="001632DA"/>
    <w:rsid w:val="00184611"/>
    <w:rsid w:val="001866CF"/>
    <w:rsid w:val="001925ED"/>
    <w:rsid w:val="001C7F12"/>
    <w:rsid w:val="001D02FF"/>
    <w:rsid w:val="001D25E7"/>
    <w:rsid w:val="001D2F92"/>
    <w:rsid w:val="001E2BCC"/>
    <w:rsid w:val="001E4DD0"/>
    <w:rsid w:val="001E6C96"/>
    <w:rsid w:val="001E6ED1"/>
    <w:rsid w:val="001F1E25"/>
    <w:rsid w:val="002064CE"/>
    <w:rsid w:val="00214653"/>
    <w:rsid w:val="00221AA1"/>
    <w:rsid w:val="002260D8"/>
    <w:rsid w:val="00231E2C"/>
    <w:rsid w:val="00233387"/>
    <w:rsid w:val="002404EE"/>
    <w:rsid w:val="002419CA"/>
    <w:rsid w:val="00242DB9"/>
    <w:rsid w:val="00243D65"/>
    <w:rsid w:val="00244DCD"/>
    <w:rsid w:val="00251092"/>
    <w:rsid w:val="00263C06"/>
    <w:rsid w:val="0027150D"/>
    <w:rsid w:val="002764D6"/>
    <w:rsid w:val="00281150"/>
    <w:rsid w:val="00283429"/>
    <w:rsid w:val="002844CE"/>
    <w:rsid w:val="002932BA"/>
    <w:rsid w:val="0029461D"/>
    <w:rsid w:val="002A22A4"/>
    <w:rsid w:val="002A5F68"/>
    <w:rsid w:val="002C5686"/>
    <w:rsid w:val="002D161E"/>
    <w:rsid w:val="002D202B"/>
    <w:rsid w:val="002E21C7"/>
    <w:rsid w:val="002F2623"/>
    <w:rsid w:val="002F4D4C"/>
    <w:rsid w:val="002F678F"/>
    <w:rsid w:val="003208E9"/>
    <w:rsid w:val="00324878"/>
    <w:rsid w:val="003259CF"/>
    <w:rsid w:val="00330116"/>
    <w:rsid w:val="003340EB"/>
    <w:rsid w:val="0033476D"/>
    <w:rsid w:val="003376AE"/>
    <w:rsid w:val="003432C8"/>
    <w:rsid w:val="00356C27"/>
    <w:rsid w:val="00363D33"/>
    <w:rsid w:val="00366AB4"/>
    <w:rsid w:val="00374910"/>
    <w:rsid w:val="003933D6"/>
    <w:rsid w:val="003A3EEF"/>
    <w:rsid w:val="003A4363"/>
    <w:rsid w:val="003B1C56"/>
    <w:rsid w:val="003B4796"/>
    <w:rsid w:val="003C6547"/>
    <w:rsid w:val="003D30D4"/>
    <w:rsid w:val="003D3DA0"/>
    <w:rsid w:val="003E16B3"/>
    <w:rsid w:val="003E19F7"/>
    <w:rsid w:val="003F0A2E"/>
    <w:rsid w:val="003F4E7C"/>
    <w:rsid w:val="003F64E2"/>
    <w:rsid w:val="00410956"/>
    <w:rsid w:val="00417E66"/>
    <w:rsid w:val="004310E9"/>
    <w:rsid w:val="00442A1C"/>
    <w:rsid w:val="00445436"/>
    <w:rsid w:val="00450AA5"/>
    <w:rsid w:val="0045309A"/>
    <w:rsid w:val="00455F00"/>
    <w:rsid w:val="004579A1"/>
    <w:rsid w:val="00460FFD"/>
    <w:rsid w:val="00461375"/>
    <w:rsid w:val="00471303"/>
    <w:rsid w:val="00476935"/>
    <w:rsid w:val="00496F33"/>
    <w:rsid w:val="004A2A80"/>
    <w:rsid w:val="004A7BA6"/>
    <w:rsid w:val="004B0B04"/>
    <w:rsid w:val="004B6D52"/>
    <w:rsid w:val="004C125F"/>
    <w:rsid w:val="004C7890"/>
    <w:rsid w:val="004D3539"/>
    <w:rsid w:val="004E576B"/>
    <w:rsid w:val="004E6B4C"/>
    <w:rsid w:val="004F3016"/>
    <w:rsid w:val="004F37B7"/>
    <w:rsid w:val="004F5CA7"/>
    <w:rsid w:val="004F75F8"/>
    <w:rsid w:val="005021A3"/>
    <w:rsid w:val="00511034"/>
    <w:rsid w:val="00520FD0"/>
    <w:rsid w:val="00526878"/>
    <w:rsid w:val="00536F5C"/>
    <w:rsid w:val="00540EC1"/>
    <w:rsid w:val="00553515"/>
    <w:rsid w:val="00553B7E"/>
    <w:rsid w:val="0055541A"/>
    <w:rsid w:val="00560FAB"/>
    <w:rsid w:val="00586752"/>
    <w:rsid w:val="005874A6"/>
    <w:rsid w:val="005A3B45"/>
    <w:rsid w:val="005A5B00"/>
    <w:rsid w:val="005B06D8"/>
    <w:rsid w:val="005B0BA1"/>
    <w:rsid w:val="005B23FD"/>
    <w:rsid w:val="005B4413"/>
    <w:rsid w:val="005B5AFB"/>
    <w:rsid w:val="005C0D98"/>
    <w:rsid w:val="005C1605"/>
    <w:rsid w:val="005C4582"/>
    <w:rsid w:val="005E2381"/>
    <w:rsid w:val="005F3E18"/>
    <w:rsid w:val="005F7A97"/>
    <w:rsid w:val="006076F2"/>
    <w:rsid w:val="00613150"/>
    <w:rsid w:val="00616DBE"/>
    <w:rsid w:val="0062659F"/>
    <w:rsid w:val="00630E2E"/>
    <w:rsid w:val="00645202"/>
    <w:rsid w:val="00661085"/>
    <w:rsid w:val="00661121"/>
    <w:rsid w:val="00662AA1"/>
    <w:rsid w:val="00667E4F"/>
    <w:rsid w:val="006706F3"/>
    <w:rsid w:val="00672202"/>
    <w:rsid w:val="0067314B"/>
    <w:rsid w:val="00676C73"/>
    <w:rsid w:val="006811B0"/>
    <w:rsid w:val="0068458C"/>
    <w:rsid w:val="006909FC"/>
    <w:rsid w:val="00694DB5"/>
    <w:rsid w:val="006A1EC6"/>
    <w:rsid w:val="006A59E8"/>
    <w:rsid w:val="006B09F0"/>
    <w:rsid w:val="006B736F"/>
    <w:rsid w:val="006C0082"/>
    <w:rsid w:val="006C67DC"/>
    <w:rsid w:val="006D787E"/>
    <w:rsid w:val="006F079E"/>
    <w:rsid w:val="00705F72"/>
    <w:rsid w:val="007125AE"/>
    <w:rsid w:val="007163AB"/>
    <w:rsid w:val="00720514"/>
    <w:rsid w:val="00727EBE"/>
    <w:rsid w:val="00736564"/>
    <w:rsid w:val="0076329D"/>
    <w:rsid w:val="0076654A"/>
    <w:rsid w:val="00767FE2"/>
    <w:rsid w:val="00773283"/>
    <w:rsid w:val="00782D49"/>
    <w:rsid w:val="00785FBA"/>
    <w:rsid w:val="007869AF"/>
    <w:rsid w:val="00787E7D"/>
    <w:rsid w:val="00791318"/>
    <w:rsid w:val="00796216"/>
    <w:rsid w:val="0079645E"/>
    <w:rsid w:val="007B2D80"/>
    <w:rsid w:val="007C1216"/>
    <w:rsid w:val="007D1890"/>
    <w:rsid w:val="007D5325"/>
    <w:rsid w:val="007D6699"/>
    <w:rsid w:val="007E1646"/>
    <w:rsid w:val="007E3FB4"/>
    <w:rsid w:val="007E721C"/>
    <w:rsid w:val="00802A0E"/>
    <w:rsid w:val="0080584C"/>
    <w:rsid w:val="00814919"/>
    <w:rsid w:val="0081599A"/>
    <w:rsid w:val="00822B25"/>
    <w:rsid w:val="008241E7"/>
    <w:rsid w:val="00832F56"/>
    <w:rsid w:val="008352DD"/>
    <w:rsid w:val="00836DBD"/>
    <w:rsid w:val="00840DAE"/>
    <w:rsid w:val="00842CCC"/>
    <w:rsid w:val="00860A99"/>
    <w:rsid w:val="00864CA9"/>
    <w:rsid w:val="00865185"/>
    <w:rsid w:val="0087026C"/>
    <w:rsid w:val="00870FE7"/>
    <w:rsid w:val="00871CF2"/>
    <w:rsid w:val="0087718F"/>
    <w:rsid w:val="00881741"/>
    <w:rsid w:val="00881EC1"/>
    <w:rsid w:val="00893B40"/>
    <w:rsid w:val="008951A7"/>
    <w:rsid w:val="008B3137"/>
    <w:rsid w:val="008B5F56"/>
    <w:rsid w:val="008C4D3F"/>
    <w:rsid w:val="008D3B45"/>
    <w:rsid w:val="008D6DA1"/>
    <w:rsid w:val="008D790A"/>
    <w:rsid w:val="008F3F91"/>
    <w:rsid w:val="008F584E"/>
    <w:rsid w:val="009122DA"/>
    <w:rsid w:val="00920E67"/>
    <w:rsid w:val="0094080C"/>
    <w:rsid w:val="00945B9D"/>
    <w:rsid w:val="009639DB"/>
    <w:rsid w:val="00963D23"/>
    <w:rsid w:val="00964376"/>
    <w:rsid w:val="00971039"/>
    <w:rsid w:val="00981017"/>
    <w:rsid w:val="00985839"/>
    <w:rsid w:val="009858E0"/>
    <w:rsid w:val="00987A45"/>
    <w:rsid w:val="00991823"/>
    <w:rsid w:val="009A4E2F"/>
    <w:rsid w:val="009B3932"/>
    <w:rsid w:val="009C1D05"/>
    <w:rsid w:val="009C6176"/>
    <w:rsid w:val="009D51C8"/>
    <w:rsid w:val="009E1DEC"/>
    <w:rsid w:val="009E2921"/>
    <w:rsid w:val="009F0AF8"/>
    <w:rsid w:val="009F28A9"/>
    <w:rsid w:val="00A00C85"/>
    <w:rsid w:val="00A10C97"/>
    <w:rsid w:val="00A25A72"/>
    <w:rsid w:val="00A3129A"/>
    <w:rsid w:val="00A31EEA"/>
    <w:rsid w:val="00A354C5"/>
    <w:rsid w:val="00A4353C"/>
    <w:rsid w:val="00A4436B"/>
    <w:rsid w:val="00A45353"/>
    <w:rsid w:val="00A46B78"/>
    <w:rsid w:val="00A50790"/>
    <w:rsid w:val="00A532CA"/>
    <w:rsid w:val="00A53A98"/>
    <w:rsid w:val="00A56EA0"/>
    <w:rsid w:val="00A602F4"/>
    <w:rsid w:val="00A710A3"/>
    <w:rsid w:val="00A81663"/>
    <w:rsid w:val="00A86315"/>
    <w:rsid w:val="00A91BFD"/>
    <w:rsid w:val="00AB46A4"/>
    <w:rsid w:val="00AC54CA"/>
    <w:rsid w:val="00AD23FE"/>
    <w:rsid w:val="00AE51A2"/>
    <w:rsid w:val="00AE78F2"/>
    <w:rsid w:val="00AF206E"/>
    <w:rsid w:val="00AF2934"/>
    <w:rsid w:val="00B043F1"/>
    <w:rsid w:val="00B06758"/>
    <w:rsid w:val="00B129DE"/>
    <w:rsid w:val="00B21599"/>
    <w:rsid w:val="00B2334E"/>
    <w:rsid w:val="00B4393F"/>
    <w:rsid w:val="00B454DF"/>
    <w:rsid w:val="00B53F25"/>
    <w:rsid w:val="00B54CD0"/>
    <w:rsid w:val="00B66757"/>
    <w:rsid w:val="00B71EB0"/>
    <w:rsid w:val="00B849EF"/>
    <w:rsid w:val="00B86F95"/>
    <w:rsid w:val="00B91889"/>
    <w:rsid w:val="00B91C99"/>
    <w:rsid w:val="00B92426"/>
    <w:rsid w:val="00BA4A7A"/>
    <w:rsid w:val="00BA4C0E"/>
    <w:rsid w:val="00BA56D4"/>
    <w:rsid w:val="00BB283E"/>
    <w:rsid w:val="00BD4678"/>
    <w:rsid w:val="00BE41A3"/>
    <w:rsid w:val="00BE575A"/>
    <w:rsid w:val="00BE7D88"/>
    <w:rsid w:val="00C007D4"/>
    <w:rsid w:val="00C01FEF"/>
    <w:rsid w:val="00C02795"/>
    <w:rsid w:val="00C039D9"/>
    <w:rsid w:val="00C21630"/>
    <w:rsid w:val="00C23210"/>
    <w:rsid w:val="00C2359D"/>
    <w:rsid w:val="00C4341B"/>
    <w:rsid w:val="00C455E3"/>
    <w:rsid w:val="00C5133E"/>
    <w:rsid w:val="00C57F95"/>
    <w:rsid w:val="00C60EE7"/>
    <w:rsid w:val="00C678D8"/>
    <w:rsid w:val="00C93483"/>
    <w:rsid w:val="00CA03B2"/>
    <w:rsid w:val="00CA573E"/>
    <w:rsid w:val="00CB3781"/>
    <w:rsid w:val="00CC21C9"/>
    <w:rsid w:val="00CC7934"/>
    <w:rsid w:val="00CD06B8"/>
    <w:rsid w:val="00CD1EFF"/>
    <w:rsid w:val="00CD301E"/>
    <w:rsid w:val="00CD73FC"/>
    <w:rsid w:val="00CE04B6"/>
    <w:rsid w:val="00CE24E0"/>
    <w:rsid w:val="00D23BEE"/>
    <w:rsid w:val="00D25A19"/>
    <w:rsid w:val="00D35586"/>
    <w:rsid w:val="00D40D7C"/>
    <w:rsid w:val="00D420F9"/>
    <w:rsid w:val="00D42A87"/>
    <w:rsid w:val="00D55CDF"/>
    <w:rsid w:val="00D65169"/>
    <w:rsid w:val="00D72532"/>
    <w:rsid w:val="00D81A64"/>
    <w:rsid w:val="00D87C2C"/>
    <w:rsid w:val="00D9210E"/>
    <w:rsid w:val="00D9638A"/>
    <w:rsid w:val="00DB276D"/>
    <w:rsid w:val="00DC5522"/>
    <w:rsid w:val="00DD1E8D"/>
    <w:rsid w:val="00DE4B4F"/>
    <w:rsid w:val="00E023C7"/>
    <w:rsid w:val="00E1190A"/>
    <w:rsid w:val="00E16C08"/>
    <w:rsid w:val="00E17DB1"/>
    <w:rsid w:val="00E35531"/>
    <w:rsid w:val="00E35D81"/>
    <w:rsid w:val="00E37DC0"/>
    <w:rsid w:val="00E457F2"/>
    <w:rsid w:val="00E56368"/>
    <w:rsid w:val="00E57DE5"/>
    <w:rsid w:val="00E606F9"/>
    <w:rsid w:val="00E60F36"/>
    <w:rsid w:val="00E62AD8"/>
    <w:rsid w:val="00E77B41"/>
    <w:rsid w:val="00E808A8"/>
    <w:rsid w:val="00E8519B"/>
    <w:rsid w:val="00E93B60"/>
    <w:rsid w:val="00E963F0"/>
    <w:rsid w:val="00EA022B"/>
    <w:rsid w:val="00EB47D0"/>
    <w:rsid w:val="00EB700C"/>
    <w:rsid w:val="00EB7535"/>
    <w:rsid w:val="00EC1A06"/>
    <w:rsid w:val="00EC4096"/>
    <w:rsid w:val="00ED472E"/>
    <w:rsid w:val="00ED67BF"/>
    <w:rsid w:val="00EE4A4C"/>
    <w:rsid w:val="00F02F10"/>
    <w:rsid w:val="00F145D9"/>
    <w:rsid w:val="00F15CFC"/>
    <w:rsid w:val="00F235E7"/>
    <w:rsid w:val="00F23773"/>
    <w:rsid w:val="00F23E09"/>
    <w:rsid w:val="00F25280"/>
    <w:rsid w:val="00F30275"/>
    <w:rsid w:val="00F34446"/>
    <w:rsid w:val="00F424B1"/>
    <w:rsid w:val="00F469E6"/>
    <w:rsid w:val="00F47E28"/>
    <w:rsid w:val="00F62FD1"/>
    <w:rsid w:val="00F63FFA"/>
    <w:rsid w:val="00F74E8D"/>
    <w:rsid w:val="00F77F18"/>
    <w:rsid w:val="00F85C01"/>
    <w:rsid w:val="00F960DC"/>
    <w:rsid w:val="00FA14C4"/>
    <w:rsid w:val="00FA2B64"/>
    <w:rsid w:val="00FB06FE"/>
    <w:rsid w:val="00FB1FE5"/>
    <w:rsid w:val="00FB658C"/>
    <w:rsid w:val="00FC51A7"/>
    <w:rsid w:val="00FC5E15"/>
    <w:rsid w:val="00FC6AC0"/>
    <w:rsid w:val="00FD4D2D"/>
    <w:rsid w:val="00FD7060"/>
    <w:rsid w:val="00FF1E65"/>
    <w:rsid w:val="00FF3EDE"/>
    <w:rsid w:val="4F5B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23FE"/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AD23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rsid w:val="00AD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Normal (Web)"/>
    <w:basedOn w:val="a"/>
    <w:uiPriority w:val="99"/>
    <w:semiHidden/>
    <w:unhideWhenUsed/>
    <w:rsid w:val="00AD23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AD23FE"/>
    <w:rPr>
      <w:b/>
      <w:bCs/>
    </w:rPr>
  </w:style>
  <w:style w:type="paragraph" w:styleId="a8">
    <w:name w:val="List Paragraph"/>
    <w:basedOn w:val="a"/>
    <w:uiPriority w:val="34"/>
    <w:qFormat/>
    <w:rsid w:val="00AD23FE"/>
    <w:pPr>
      <w:ind w:firstLineChars="200" w:firstLine="420"/>
    </w:pPr>
  </w:style>
  <w:style w:type="paragraph" w:customStyle="1" w:styleId="p0">
    <w:name w:val="p0"/>
    <w:basedOn w:val="a"/>
    <w:rsid w:val="00AD23FE"/>
    <w:pPr>
      <w:widowControl/>
    </w:pPr>
    <w:rPr>
      <w:rFonts w:ascii="Times New Roman" w:hAnsi="Times New Roman"/>
      <w:kern w:val="0"/>
      <w:szCs w:val="21"/>
    </w:rPr>
  </w:style>
  <w:style w:type="character" w:customStyle="1" w:styleId="Char">
    <w:name w:val="批注框文本 Char"/>
    <w:link w:val="a3"/>
    <w:uiPriority w:val="99"/>
    <w:semiHidden/>
    <w:rsid w:val="00AD23FE"/>
    <w:rPr>
      <w:sz w:val="18"/>
      <w:szCs w:val="18"/>
    </w:rPr>
  </w:style>
  <w:style w:type="character" w:customStyle="1" w:styleId="Char1">
    <w:name w:val="页眉 Char"/>
    <w:link w:val="a5"/>
    <w:uiPriority w:val="99"/>
    <w:rsid w:val="00AD23FE"/>
    <w:rPr>
      <w:sz w:val="18"/>
      <w:szCs w:val="18"/>
    </w:rPr>
  </w:style>
  <w:style w:type="character" w:customStyle="1" w:styleId="Char0">
    <w:name w:val="页脚 Char"/>
    <w:link w:val="a4"/>
    <w:uiPriority w:val="99"/>
    <w:rsid w:val="00AD23FE"/>
    <w:rPr>
      <w:sz w:val="18"/>
      <w:szCs w:val="18"/>
    </w:rPr>
  </w:style>
  <w:style w:type="character" w:customStyle="1" w:styleId="fontstyle01">
    <w:name w:val="fontstyle01"/>
    <w:rsid w:val="00AD23FE"/>
    <w:rPr>
      <w:rFonts w:ascii="楷体" w:eastAsia="楷体" w:hAnsi="楷体" w:hint="eastAsia"/>
      <w:color w:val="000000"/>
      <w:sz w:val="30"/>
      <w:szCs w:val="30"/>
    </w:rPr>
  </w:style>
  <w:style w:type="character" w:customStyle="1" w:styleId="fontstyle21">
    <w:name w:val="fontstyle21"/>
    <w:rsid w:val="00AD23FE"/>
    <w:rPr>
      <w:rFonts w:ascii="仿宋" w:eastAsia="仿宋" w:hAnsi="仿宋" w:hint="eastAsia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318</Words>
  <Characters>1813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HBHP</cp:lastModifiedBy>
  <cp:revision>4</cp:revision>
  <cp:lastPrinted>2018-05-24T01:06:00Z</cp:lastPrinted>
  <dcterms:created xsi:type="dcterms:W3CDTF">2018-04-13T07:26:00Z</dcterms:created>
  <dcterms:modified xsi:type="dcterms:W3CDTF">2018-05-24T09:13:00Z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